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7F" w:rsidRPr="00072D7F" w:rsidRDefault="00072D7F" w:rsidP="00072D7F">
      <w:pPr>
        <w:pStyle w:val="BodyText"/>
        <w:spacing w:after="120"/>
        <w:ind w:firstLine="0"/>
        <w:jc w:val="center"/>
        <w:rPr>
          <w:b/>
          <w:szCs w:val="24"/>
        </w:rPr>
      </w:pPr>
      <w:r w:rsidRPr="00072D7F">
        <w:rPr>
          <w:b/>
          <w:szCs w:val="24"/>
        </w:rPr>
        <w:t>GOVERNMENT OF THE DISTRICT OF COLUMBIA</w:t>
      </w:r>
    </w:p>
    <w:p w:rsidR="00072D7F" w:rsidRPr="00E04D37" w:rsidRDefault="00072D7F" w:rsidP="00072D7F">
      <w:pPr>
        <w:pStyle w:val="BodyText"/>
        <w:spacing w:after="120"/>
        <w:ind w:firstLine="0"/>
        <w:jc w:val="center"/>
        <w:rPr>
          <w:szCs w:val="24"/>
        </w:rPr>
      </w:pPr>
      <w:r w:rsidRPr="00E04D37">
        <w:rPr>
          <w:b/>
          <w:szCs w:val="24"/>
        </w:rPr>
        <w:t>DEPARTMENT OF INSURANCE, SECURITIES AND BANKING</w:t>
      </w:r>
    </w:p>
    <w:p w:rsidR="00072D7F" w:rsidRPr="00E04D37" w:rsidRDefault="00072D7F" w:rsidP="00072D7F">
      <w:pPr>
        <w:pStyle w:val="BodyText"/>
        <w:ind w:firstLine="0"/>
        <w:jc w:val="center"/>
        <w:rPr>
          <w:szCs w:val="24"/>
        </w:rPr>
      </w:pPr>
      <w:r>
        <w:rPr>
          <w:szCs w:val="24"/>
        </w:rPr>
        <w:t>_______________________________________________</w:t>
      </w:r>
    </w:p>
    <w:p w:rsidR="00072D7F" w:rsidRPr="00E04D37" w:rsidRDefault="00072D7F" w:rsidP="00072D7F">
      <w:pPr>
        <w:pStyle w:val="BodyText"/>
        <w:ind w:firstLine="0"/>
        <w:jc w:val="center"/>
        <w:rPr>
          <w:szCs w:val="24"/>
        </w:rPr>
      </w:pPr>
      <w:r w:rsidRPr="00E04D37">
        <w:rPr>
          <w:szCs w:val="24"/>
        </w:rPr>
        <w:t>IN THE MATTER OF</w:t>
      </w:r>
    </w:p>
    <w:p w:rsidR="00072D7F" w:rsidRPr="00E04D37" w:rsidRDefault="00072D7F" w:rsidP="00072D7F">
      <w:pPr>
        <w:pStyle w:val="BodyText"/>
        <w:ind w:firstLine="0"/>
        <w:jc w:val="center"/>
        <w:rPr>
          <w:szCs w:val="24"/>
        </w:rPr>
      </w:pPr>
      <w:r w:rsidRPr="00E04D37">
        <w:rPr>
          <w:szCs w:val="24"/>
        </w:rPr>
        <w:t>Surplus Review and Determination for Group Hospitalization and Medical Services, Inc.</w:t>
      </w:r>
    </w:p>
    <w:p w:rsidR="00072D7F" w:rsidRPr="00E04D37" w:rsidRDefault="00072D7F" w:rsidP="00072D7F">
      <w:pPr>
        <w:pStyle w:val="BodyText"/>
        <w:spacing w:after="0"/>
        <w:ind w:firstLine="0"/>
        <w:jc w:val="center"/>
        <w:rPr>
          <w:szCs w:val="24"/>
        </w:rPr>
      </w:pPr>
      <w:r w:rsidRPr="00E04D37">
        <w:rPr>
          <w:szCs w:val="24"/>
        </w:rPr>
        <w:t>Order No. 14-MIE-012</w:t>
      </w:r>
    </w:p>
    <w:p w:rsidR="00072D7F" w:rsidRPr="00E04D37" w:rsidRDefault="00072D7F" w:rsidP="00072D7F">
      <w:pPr>
        <w:pStyle w:val="BodyText"/>
        <w:ind w:firstLine="0"/>
        <w:jc w:val="center"/>
        <w:rPr>
          <w:szCs w:val="24"/>
        </w:rPr>
      </w:pPr>
      <w:r>
        <w:rPr>
          <w:szCs w:val="24"/>
        </w:rPr>
        <w:t>_______________________________________________</w:t>
      </w:r>
    </w:p>
    <w:p w:rsidR="00072D7F" w:rsidRPr="00072D7F" w:rsidRDefault="00072D7F" w:rsidP="001052D8">
      <w:pPr>
        <w:pStyle w:val="BodyText"/>
        <w:spacing w:after="0"/>
        <w:ind w:left="720" w:right="720" w:firstLine="0"/>
        <w:jc w:val="center"/>
        <w:rPr>
          <w:b/>
          <w:caps/>
          <w:szCs w:val="24"/>
        </w:rPr>
      </w:pPr>
      <w:bookmarkStart w:id="0" w:name="_GoBack"/>
      <w:r w:rsidRPr="00072D7F">
        <w:rPr>
          <w:b/>
          <w:caps/>
          <w:szCs w:val="24"/>
        </w:rPr>
        <w:t>Brief for D</w:t>
      </w:r>
      <w:r w:rsidR="008E7F91">
        <w:rPr>
          <w:b/>
          <w:caps/>
          <w:szCs w:val="24"/>
        </w:rPr>
        <w:t>.</w:t>
      </w:r>
      <w:r w:rsidRPr="00072D7F">
        <w:rPr>
          <w:b/>
          <w:caps/>
          <w:szCs w:val="24"/>
        </w:rPr>
        <w:t>C</w:t>
      </w:r>
      <w:r w:rsidR="008E7F91">
        <w:rPr>
          <w:b/>
          <w:caps/>
          <w:szCs w:val="24"/>
        </w:rPr>
        <w:t>.</w:t>
      </w:r>
      <w:r w:rsidRPr="00072D7F">
        <w:rPr>
          <w:b/>
          <w:caps/>
          <w:szCs w:val="24"/>
        </w:rPr>
        <w:t xml:space="preserve"> Appleseed Before the </w:t>
      </w:r>
      <w:r w:rsidRPr="00E04D37">
        <w:rPr>
          <w:b/>
          <w:szCs w:val="24"/>
        </w:rPr>
        <w:t>DEPARTMENT OF INSURANCE, SECURITIES AND BANKING</w:t>
      </w:r>
      <w:r w:rsidRPr="00072D7F">
        <w:rPr>
          <w:b/>
          <w:caps/>
          <w:szCs w:val="24"/>
        </w:rPr>
        <w:t xml:space="preserve"> on Remand</w:t>
      </w:r>
      <w:bookmarkEnd w:id="0"/>
      <w:r w:rsidRPr="00072D7F">
        <w:rPr>
          <w:b/>
          <w:caps/>
          <w:szCs w:val="24"/>
        </w:rPr>
        <w:t xml:space="preserve"> from the August 29, 2019 Decision of the District of Columbia Court of Appeals</w:t>
      </w:r>
    </w:p>
    <w:p w:rsidR="00BD3DB9" w:rsidRDefault="00072D7F" w:rsidP="004A3FCB">
      <w:pPr>
        <w:pStyle w:val="BodyText"/>
        <w:ind w:firstLine="0"/>
        <w:jc w:val="center"/>
        <w:rPr>
          <w:szCs w:val="24"/>
        </w:rPr>
      </w:pPr>
      <w:r>
        <w:rPr>
          <w:szCs w:val="24"/>
        </w:rPr>
        <w:t>_______________________________________________</w:t>
      </w:r>
    </w:p>
    <w:p w:rsidR="00EC6FF5" w:rsidRDefault="00EC6FF5" w:rsidP="004A3FCB">
      <w:pPr>
        <w:pStyle w:val="BodyText"/>
        <w:ind w:firstLine="0"/>
        <w:jc w:val="center"/>
        <w:rPr>
          <w:szCs w:val="24"/>
        </w:rPr>
      </w:pPr>
    </w:p>
    <w:p w:rsidR="00EC6FF5" w:rsidRDefault="00EC6FF5" w:rsidP="004A3FCB">
      <w:pPr>
        <w:pStyle w:val="BodyText"/>
        <w:ind w:firstLine="0"/>
        <w:jc w:val="center"/>
        <w:rPr>
          <w:szCs w:val="24"/>
        </w:rPr>
        <w:sectPr w:rsidR="00EC6FF5" w:rsidSect="00EC6FF5">
          <w:footerReference w:type="default" r:id="rId8"/>
          <w:footerReference w:type="first" r:id="rId9"/>
          <w:pgSz w:w="12240" w:h="15840"/>
          <w:pgMar w:top="1440" w:right="1440" w:bottom="1440" w:left="1440" w:header="720" w:footer="720" w:gutter="0"/>
          <w:pgNumType w:fmt="lowerRoman" w:start="1"/>
          <w:cols w:space="720"/>
          <w:docGrid w:linePitch="360"/>
        </w:sectPr>
      </w:pPr>
    </w:p>
    <w:p w:rsidR="00750C7D" w:rsidRPr="004A3FCB" w:rsidRDefault="00750C7D" w:rsidP="004A3FCB">
      <w:pPr>
        <w:pStyle w:val="BodyText"/>
        <w:ind w:firstLine="0"/>
        <w:jc w:val="center"/>
        <w:rPr>
          <w:szCs w:val="24"/>
        </w:rPr>
      </w:pPr>
    </w:p>
    <w:sdt>
      <w:sdtPr>
        <w:rPr>
          <w:b w:val="0"/>
        </w:rPr>
        <w:id w:val="1179541767"/>
        <w:docPartObj>
          <w:docPartGallery w:val="Table of Contents"/>
          <w:docPartUnique/>
        </w:docPartObj>
      </w:sdtPr>
      <w:sdtEndPr>
        <w:rPr>
          <w:bCs/>
          <w:noProof/>
        </w:rPr>
      </w:sdtEndPr>
      <w:sdtContent>
        <w:p w:rsidR="00CF23E9" w:rsidRDefault="00CF23E9">
          <w:pPr>
            <w:pStyle w:val="TOCHeading"/>
          </w:pPr>
          <w:r>
            <w:t>Table of Contents</w:t>
          </w:r>
        </w:p>
        <w:p w:rsidR="009B13F2" w:rsidRDefault="00A27B56">
          <w:pPr>
            <w:pStyle w:val="TOC1"/>
            <w:rPr>
              <w:rFonts w:eastAsiaTheme="minorEastAsia"/>
              <w:color w:val="auto"/>
              <w:sz w:val="22"/>
              <w:szCs w:val="22"/>
            </w:rPr>
          </w:pPr>
          <w:r>
            <w:fldChar w:fldCharType="begin"/>
          </w:r>
          <w:r w:rsidR="00CF23E9">
            <w:instrText xml:space="preserve"> TOC \o "1-3" \h \z \u </w:instrText>
          </w:r>
          <w:r>
            <w:fldChar w:fldCharType="separate"/>
          </w:r>
          <w:hyperlink w:anchor="_Toc40193607" w:history="1">
            <w:r w:rsidR="009B13F2" w:rsidRPr="006D1169">
              <w:rPr>
                <w:rStyle w:val="Hyperlink"/>
                <w:b/>
              </w:rPr>
              <w:t>INTRODUCTION</w:t>
            </w:r>
            <w:r w:rsidR="009B13F2">
              <w:rPr>
                <w:webHidden/>
              </w:rPr>
              <w:tab/>
            </w:r>
            <w:r w:rsidR="009B13F2">
              <w:rPr>
                <w:webHidden/>
              </w:rPr>
              <w:fldChar w:fldCharType="begin"/>
            </w:r>
            <w:r w:rsidR="009B13F2">
              <w:rPr>
                <w:webHidden/>
              </w:rPr>
              <w:instrText xml:space="preserve"> PAGEREF _Toc40193607 \h </w:instrText>
            </w:r>
            <w:r w:rsidR="009B13F2">
              <w:rPr>
                <w:webHidden/>
              </w:rPr>
            </w:r>
            <w:r w:rsidR="009B13F2">
              <w:rPr>
                <w:webHidden/>
              </w:rPr>
              <w:fldChar w:fldCharType="separate"/>
            </w:r>
            <w:r w:rsidR="009B13F2">
              <w:rPr>
                <w:webHidden/>
              </w:rPr>
              <w:t>1</w:t>
            </w:r>
            <w:r w:rsidR="009B13F2">
              <w:rPr>
                <w:webHidden/>
              </w:rPr>
              <w:fldChar w:fldCharType="end"/>
            </w:r>
          </w:hyperlink>
        </w:p>
        <w:p w:rsidR="009B13F2" w:rsidRDefault="00A83E1F">
          <w:pPr>
            <w:pStyle w:val="TOC1"/>
            <w:rPr>
              <w:rFonts w:eastAsiaTheme="minorEastAsia"/>
              <w:color w:val="auto"/>
              <w:sz w:val="22"/>
              <w:szCs w:val="22"/>
            </w:rPr>
          </w:pPr>
          <w:hyperlink w:anchor="_Toc40193608" w:history="1">
            <w:r w:rsidR="009B13F2" w:rsidRPr="006D1169">
              <w:rPr>
                <w:rStyle w:val="Hyperlink"/>
                <w:b/>
              </w:rPr>
              <w:t>BACKGROUND</w:t>
            </w:r>
            <w:r w:rsidR="009B13F2">
              <w:rPr>
                <w:webHidden/>
              </w:rPr>
              <w:tab/>
            </w:r>
            <w:r w:rsidR="009B13F2">
              <w:rPr>
                <w:webHidden/>
              </w:rPr>
              <w:fldChar w:fldCharType="begin"/>
            </w:r>
            <w:r w:rsidR="009B13F2">
              <w:rPr>
                <w:webHidden/>
              </w:rPr>
              <w:instrText xml:space="preserve"> PAGEREF _Toc40193608 \h </w:instrText>
            </w:r>
            <w:r w:rsidR="009B13F2">
              <w:rPr>
                <w:webHidden/>
              </w:rPr>
            </w:r>
            <w:r w:rsidR="009B13F2">
              <w:rPr>
                <w:webHidden/>
              </w:rPr>
              <w:fldChar w:fldCharType="separate"/>
            </w:r>
            <w:r w:rsidR="009B13F2">
              <w:rPr>
                <w:webHidden/>
              </w:rPr>
              <w:t>2</w:t>
            </w:r>
            <w:r w:rsidR="009B13F2">
              <w:rPr>
                <w:webHidden/>
              </w:rPr>
              <w:fldChar w:fldCharType="end"/>
            </w:r>
          </w:hyperlink>
        </w:p>
        <w:p w:rsidR="009B13F2" w:rsidRDefault="00A83E1F">
          <w:pPr>
            <w:pStyle w:val="TOC2"/>
            <w:tabs>
              <w:tab w:val="left" w:pos="1440"/>
            </w:tabs>
            <w:rPr>
              <w:rFonts w:eastAsiaTheme="minorEastAsia"/>
              <w:color w:val="auto"/>
              <w:sz w:val="22"/>
              <w:szCs w:val="22"/>
            </w:rPr>
          </w:pPr>
          <w:hyperlink w:anchor="_Toc40193609" w:history="1">
            <w:r w:rsidR="009B13F2" w:rsidRPr="006D1169">
              <w:rPr>
                <w:rStyle w:val="Hyperlink"/>
              </w:rPr>
              <w:t>A.</w:t>
            </w:r>
            <w:r w:rsidR="009B13F2">
              <w:rPr>
                <w:rFonts w:eastAsiaTheme="minorEastAsia"/>
                <w:color w:val="auto"/>
                <w:sz w:val="22"/>
                <w:szCs w:val="22"/>
              </w:rPr>
              <w:tab/>
            </w:r>
            <w:r w:rsidR="009B13F2" w:rsidRPr="006D1169">
              <w:rPr>
                <w:rStyle w:val="Hyperlink"/>
              </w:rPr>
              <w:t>GHMSI’s Ever-Growing Excessive Surplus</w:t>
            </w:r>
            <w:r w:rsidR="009B13F2">
              <w:rPr>
                <w:webHidden/>
              </w:rPr>
              <w:tab/>
            </w:r>
            <w:r w:rsidR="009B13F2">
              <w:rPr>
                <w:webHidden/>
              </w:rPr>
              <w:fldChar w:fldCharType="begin"/>
            </w:r>
            <w:r w:rsidR="009B13F2">
              <w:rPr>
                <w:webHidden/>
              </w:rPr>
              <w:instrText xml:space="preserve"> PAGEREF _Toc40193609 \h </w:instrText>
            </w:r>
            <w:r w:rsidR="009B13F2">
              <w:rPr>
                <w:webHidden/>
              </w:rPr>
            </w:r>
            <w:r w:rsidR="009B13F2">
              <w:rPr>
                <w:webHidden/>
              </w:rPr>
              <w:fldChar w:fldCharType="separate"/>
            </w:r>
            <w:r w:rsidR="009B13F2">
              <w:rPr>
                <w:webHidden/>
              </w:rPr>
              <w:t>3</w:t>
            </w:r>
            <w:r w:rsidR="009B13F2">
              <w:rPr>
                <w:webHidden/>
              </w:rPr>
              <w:fldChar w:fldCharType="end"/>
            </w:r>
          </w:hyperlink>
        </w:p>
        <w:p w:rsidR="009B13F2" w:rsidRDefault="00A83E1F">
          <w:pPr>
            <w:pStyle w:val="TOC2"/>
            <w:tabs>
              <w:tab w:val="left" w:pos="1440"/>
            </w:tabs>
            <w:rPr>
              <w:rFonts w:eastAsiaTheme="minorEastAsia"/>
              <w:color w:val="auto"/>
              <w:sz w:val="22"/>
              <w:szCs w:val="22"/>
            </w:rPr>
          </w:pPr>
          <w:hyperlink w:anchor="_Toc40193610" w:history="1">
            <w:r w:rsidR="009B13F2" w:rsidRPr="006D1169">
              <w:rPr>
                <w:rStyle w:val="Hyperlink"/>
                <w:rFonts w:cstheme="minorHAnsi"/>
              </w:rPr>
              <w:t>B.</w:t>
            </w:r>
            <w:r w:rsidR="009B13F2">
              <w:rPr>
                <w:rFonts w:eastAsiaTheme="minorEastAsia"/>
                <w:color w:val="auto"/>
                <w:sz w:val="22"/>
                <w:szCs w:val="22"/>
              </w:rPr>
              <w:tab/>
            </w:r>
            <w:r w:rsidR="009B13F2" w:rsidRPr="006D1169">
              <w:rPr>
                <w:rStyle w:val="Hyperlink"/>
                <w:rFonts w:cstheme="minorHAnsi"/>
              </w:rPr>
              <w:t>The District’s Critical Health Needs</w:t>
            </w:r>
            <w:r w:rsidR="009B13F2">
              <w:rPr>
                <w:webHidden/>
              </w:rPr>
              <w:tab/>
            </w:r>
            <w:r w:rsidR="009B13F2">
              <w:rPr>
                <w:webHidden/>
              </w:rPr>
              <w:fldChar w:fldCharType="begin"/>
            </w:r>
            <w:r w:rsidR="009B13F2">
              <w:rPr>
                <w:webHidden/>
              </w:rPr>
              <w:instrText xml:space="preserve"> PAGEREF _Toc40193610 \h </w:instrText>
            </w:r>
            <w:r w:rsidR="009B13F2">
              <w:rPr>
                <w:webHidden/>
              </w:rPr>
            </w:r>
            <w:r w:rsidR="009B13F2">
              <w:rPr>
                <w:webHidden/>
              </w:rPr>
              <w:fldChar w:fldCharType="separate"/>
            </w:r>
            <w:r w:rsidR="009B13F2">
              <w:rPr>
                <w:webHidden/>
              </w:rPr>
              <w:t>5</w:t>
            </w:r>
            <w:r w:rsidR="009B13F2">
              <w:rPr>
                <w:webHidden/>
              </w:rPr>
              <w:fldChar w:fldCharType="end"/>
            </w:r>
          </w:hyperlink>
        </w:p>
        <w:p w:rsidR="009B13F2" w:rsidRDefault="00A83E1F">
          <w:pPr>
            <w:pStyle w:val="TOC2"/>
            <w:tabs>
              <w:tab w:val="left" w:pos="1440"/>
            </w:tabs>
            <w:rPr>
              <w:rFonts w:eastAsiaTheme="minorEastAsia"/>
              <w:color w:val="auto"/>
              <w:sz w:val="22"/>
              <w:szCs w:val="22"/>
            </w:rPr>
          </w:pPr>
          <w:hyperlink w:anchor="_Toc40193611" w:history="1">
            <w:r w:rsidR="009B13F2" w:rsidRPr="006D1169">
              <w:rPr>
                <w:rStyle w:val="Hyperlink"/>
                <w:rFonts w:cstheme="minorHAnsi"/>
              </w:rPr>
              <w:t>C.</w:t>
            </w:r>
            <w:r w:rsidR="009B13F2">
              <w:rPr>
                <w:rFonts w:eastAsiaTheme="minorEastAsia"/>
                <w:color w:val="auto"/>
                <w:sz w:val="22"/>
                <w:szCs w:val="22"/>
              </w:rPr>
              <w:tab/>
            </w:r>
            <w:r w:rsidR="009B13F2" w:rsidRPr="006D1169">
              <w:rPr>
                <w:rStyle w:val="Hyperlink"/>
                <w:rFonts w:cstheme="minorHAnsi"/>
              </w:rPr>
              <w:t>Past Delays in DISB Proceedings</w:t>
            </w:r>
            <w:r w:rsidR="009B13F2">
              <w:rPr>
                <w:webHidden/>
              </w:rPr>
              <w:tab/>
            </w:r>
            <w:r w:rsidR="009B13F2">
              <w:rPr>
                <w:webHidden/>
              </w:rPr>
              <w:fldChar w:fldCharType="begin"/>
            </w:r>
            <w:r w:rsidR="009B13F2">
              <w:rPr>
                <w:webHidden/>
              </w:rPr>
              <w:instrText xml:space="preserve"> PAGEREF _Toc40193611 \h </w:instrText>
            </w:r>
            <w:r w:rsidR="009B13F2">
              <w:rPr>
                <w:webHidden/>
              </w:rPr>
            </w:r>
            <w:r w:rsidR="009B13F2">
              <w:rPr>
                <w:webHidden/>
              </w:rPr>
              <w:fldChar w:fldCharType="separate"/>
            </w:r>
            <w:r w:rsidR="009B13F2">
              <w:rPr>
                <w:webHidden/>
              </w:rPr>
              <w:t>5</w:t>
            </w:r>
            <w:r w:rsidR="009B13F2">
              <w:rPr>
                <w:webHidden/>
              </w:rPr>
              <w:fldChar w:fldCharType="end"/>
            </w:r>
          </w:hyperlink>
        </w:p>
        <w:p w:rsidR="009B13F2" w:rsidRDefault="00A83E1F">
          <w:pPr>
            <w:pStyle w:val="TOC1"/>
            <w:rPr>
              <w:rFonts w:eastAsiaTheme="minorEastAsia"/>
              <w:color w:val="auto"/>
              <w:sz w:val="22"/>
              <w:szCs w:val="22"/>
            </w:rPr>
          </w:pPr>
          <w:hyperlink w:anchor="_Toc40193612" w:history="1">
            <w:r w:rsidR="009B13F2" w:rsidRPr="006D1169">
              <w:rPr>
                <w:rStyle w:val="Hyperlink"/>
                <w:rFonts w:cstheme="minorHAnsi"/>
                <w:b/>
              </w:rPr>
              <w:t>DISCUSSION</w:t>
            </w:r>
            <w:r w:rsidR="009B13F2">
              <w:rPr>
                <w:webHidden/>
              </w:rPr>
              <w:tab/>
            </w:r>
            <w:r w:rsidR="009B13F2">
              <w:rPr>
                <w:webHidden/>
              </w:rPr>
              <w:fldChar w:fldCharType="begin"/>
            </w:r>
            <w:r w:rsidR="009B13F2">
              <w:rPr>
                <w:webHidden/>
              </w:rPr>
              <w:instrText xml:space="preserve"> PAGEREF _Toc40193612 \h </w:instrText>
            </w:r>
            <w:r w:rsidR="009B13F2">
              <w:rPr>
                <w:webHidden/>
              </w:rPr>
            </w:r>
            <w:r w:rsidR="009B13F2">
              <w:rPr>
                <w:webHidden/>
              </w:rPr>
              <w:fldChar w:fldCharType="separate"/>
            </w:r>
            <w:r w:rsidR="009B13F2">
              <w:rPr>
                <w:webHidden/>
              </w:rPr>
              <w:t>7</w:t>
            </w:r>
            <w:r w:rsidR="009B13F2">
              <w:rPr>
                <w:webHidden/>
              </w:rPr>
              <w:fldChar w:fldCharType="end"/>
            </w:r>
          </w:hyperlink>
        </w:p>
        <w:p w:rsidR="009B13F2" w:rsidRDefault="00A83E1F">
          <w:pPr>
            <w:pStyle w:val="TOC2"/>
            <w:tabs>
              <w:tab w:val="left" w:pos="1440"/>
            </w:tabs>
            <w:rPr>
              <w:rFonts w:eastAsiaTheme="minorEastAsia"/>
              <w:color w:val="auto"/>
              <w:sz w:val="22"/>
              <w:szCs w:val="22"/>
            </w:rPr>
          </w:pPr>
          <w:hyperlink w:anchor="_Toc40193613" w:history="1">
            <w:r w:rsidR="009B13F2" w:rsidRPr="006D1169">
              <w:rPr>
                <w:rStyle w:val="Hyperlink"/>
                <w:rFonts w:cstheme="minorHAnsi"/>
              </w:rPr>
              <w:t>A.</w:t>
            </w:r>
            <w:r w:rsidR="009B13F2">
              <w:rPr>
                <w:rFonts w:eastAsiaTheme="minorEastAsia"/>
                <w:color w:val="auto"/>
                <w:sz w:val="22"/>
                <w:szCs w:val="22"/>
              </w:rPr>
              <w:tab/>
            </w:r>
            <w:r w:rsidR="009B13F2" w:rsidRPr="006D1169">
              <w:rPr>
                <w:rStyle w:val="Hyperlink"/>
                <w:rFonts w:cstheme="minorHAnsi"/>
              </w:rPr>
              <w:t>The Commissioner Should Immediately Order GHMSI to Spend the $51 Million Affirmed by the Court of Appeals, and Promptly Resolve the Issues Remanded by the Court of Appeals to Determine GHMSI’s Additional Excess Surplus</w:t>
            </w:r>
            <w:r w:rsidR="009B13F2">
              <w:rPr>
                <w:webHidden/>
              </w:rPr>
              <w:tab/>
            </w:r>
            <w:r w:rsidR="009B13F2">
              <w:rPr>
                <w:webHidden/>
              </w:rPr>
              <w:fldChar w:fldCharType="begin"/>
            </w:r>
            <w:r w:rsidR="009B13F2">
              <w:rPr>
                <w:webHidden/>
              </w:rPr>
              <w:instrText xml:space="preserve"> PAGEREF _Toc40193613 \h </w:instrText>
            </w:r>
            <w:r w:rsidR="009B13F2">
              <w:rPr>
                <w:webHidden/>
              </w:rPr>
            </w:r>
            <w:r w:rsidR="009B13F2">
              <w:rPr>
                <w:webHidden/>
              </w:rPr>
              <w:fldChar w:fldCharType="separate"/>
            </w:r>
            <w:r w:rsidR="009B13F2">
              <w:rPr>
                <w:webHidden/>
              </w:rPr>
              <w:t>7</w:t>
            </w:r>
            <w:r w:rsidR="009B13F2">
              <w:rPr>
                <w:webHidden/>
              </w:rPr>
              <w:fldChar w:fldCharType="end"/>
            </w:r>
          </w:hyperlink>
        </w:p>
        <w:p w:rsidR="009B13F2" w:rsidRDefault="00A83E1F">
          <w:pPr>
            <w:pStyle w:val="TOC3"/>
            <w:tabs>
              <w:tab w:val="left" w:pos="2160"/>
            </w:tabs>
            <w:rPr>
              <w:rFonts w:eastAsiaTheme="minorEastAsia"/>
              <w:color w:val="auto"/>
              <w:sz w:val="22"/>
              <w:szCs w:val="22"/>
            </w:rPr>
          </w:pPr>
          <w:hyperlink w:anchor="_Toc40193614" w:history="1">
            <w:r w:rsidR="009B13F2" w:rsidRPr="006D1169">
              <w:rPr>
                <w:rStyle w:val="Hyperlink"/>
              </w:rPr>
              <w:t>1.</w:t>
            </w:r>
            <w:r w:rsidR="009B13F2">
              <w:rPr>
                <w:rFonts w:eastAsiaTheme="minorEastAsia"/>
                <w:color w:val="auto"/>
                <w:sz w:val="22"/>
                <w:szCs w:val="22"/>
              </w:rPr>
              <w:tab/>
            </w:r>
            <w:r w:rsidR="009B13F2" w:rsidRPr="006D1169">
              <w:rPr>
                <w:rStyle w:val="Hyperlink"/>
              </w:rPr>
              <w:t>The Effect of Equity Portfolio Risk on GHMSI’s Need For Surplus</w:t>
            </w:r>
            <w:r w:rsidR="009B13F2">
              <w:rPr>
                <w:webHidden/>
              </w:rPr>
              <w:tab/>
            </w:r>
            <w:r w:rsidR="009B13F2">
              <w:rPr>
                <w:webHidden/>
              </w:rPr>
              <w:fldChar w:fldCharType="begin"/>
            </w:r>
            <w:r w:rsidR="009B13F2">
              <w:rPr>
                <w:webHidden/>
              </w:rPr>
              <w:instrText xml:space="preserve"> PAGEREF _Toc40193614 \h </w:instrText>
            </w:r>
            <w:r w:rsidR="009B13F2">
              <w:rPr>
                <w:webHidden/>
              </w:rPr>
            </w:r>
            <w:r w:rsidR="009B13F2">
              <w:rPr>
                <w:webHidden/>
              </w:rPr>
              <w:fldChar w:fldCharType="separate"/>
            </w:r>
            <w:r w:rsidR="009B13F2">
              <w:rPr>
                <w:webHidden/>
              </w:rPr>
              <w:t>8</w:t>
            </w:r>
            <w:r w:rsidR="009B13F2">
              <w:rPr>
                <w:webHidden/>
              </w:rPr>
              <w:fldChar w:fldCharType="end"/>
            </w:r>
          </w:hyperlink>
        </w:p>
        <w:p w:rsidR="009B13F2" w:rsidRDefault="00A83E1F">
          <w:pPr>
            <w:pStyle w:val="TOC3"/>
            <w:tabs>
              <w:tab w:val="left" w:pos="2160"/>
            </w:tabs>
            <w:rPr>
              <w:rFonts w:eastAsiaTheme="minorEastAsia"/>
              <w:color w:val="auto"/>
              <w:sz w:val="22"/>
              <w:szCs w:val="22"/>
            </w:rPr>
          </w:pPr>
          <w:hyperlink w:anchor="_Toc40193615" w:history="1">
            <w:r w:rsidR="009B13F2" w:rsidRPr="006D1169">
              <w:rPr>
                <w:rStyle w:val="Hyperlink"/>
              </w:rPr>
              <w:t>2.</w:t>
            </w:r>
            <w:r w:rsidR="009B13F2">
              <w:rPr>
                <w:rFonts w:eastAsiaTheme="minorEastAsia"/>
                <w:color w:val="auto"/>
                <w:sz w:val="22"/>
                <w:szCs w:val="22"/>
              </w:rPr>
              <w:tab/>
            </w:r>
            <w:r w:rsidR="009B13F2" w:rsidRPr="006D1169">
              <w:rPr>
                <w:rStyle w:val="Hyperlink"/>
              </w:rPr>
              <w:t>Percentage of GHMSI’s Excessive Surplus to be Attributed to the District</w:t>
            </w:r>
            <w:r w:rsidR="009B13F2">
              <w:rPr>
                <w:webHidden/>
              </w:rPr>
              <w:tab/>
            </w:r>
            <w:r w:rsidR="009B13F2">
              <w:rPr>
                <w:webHidden/>
              </w:rPr>
              <w:fldChar w:fldCharType="begin"/>
            </w:r>
            <w:r w:rsidR="009B13F2">
              <w:rPr>
                <w:webHidden/>
              </w:rPr>
              <w:instrText xml:space="preserve"> PAGEREF _Toc40193615 \h </w:instrText>
            </w:r>
            <w:r w:rsidR="009B13F2">
              <w:rPr>
                <w:webHidden/>
              </w:rPr>
            </w:r>
            <w:r w:rsidR="009B13F2">
              <w:rPr>
                <w:webHidden/>
              </w:rPr>
              <w:fldChar w:fldCharType="separate"/>
            </w:r>
            <w:r w:rsidR="009B13F2">
              <w:rPr>
                <w:webHidden/>
              </w:rPr>
              <w:t>12</w:t>
            </w:r>
            <w:r w:rsidR="009B13F2">
              <w:rPr>
                <w:webHidden/>
              </w:rPr>
              <w:fldChar w:fldCharType="end"/>
            </w:r>
          </w:hyperlink>
        </w:p>
        <w:p w:rsidR="009B13F2" w:rsidRDefault="00A83E1F">
          <w:pPr>
            <w:pStyle w:val="TOC3"/>
            <w:tabs>
              <w:tab w:val="left" w:pos="2160"/>
            </w:tabs>
            <w:rPr>
              <w:rFonts w:eastAsiaTheme="minorEastAsia"/>
              <w:color w:val="auto"/>
              <w:sz w:val="22"/>
              <w:szCs w:val="22"/>
            </w:rPr>
          </w:pPr>
          <w:hyperlink w:anchor="_Toc40193616" w:history="1">
            <w:r w:rsidR="009B13F2" w:rsidRPr="006D1169">
              <w:rPr>
                <w:rStyle w:val="Hyperlink"/>
              </w:rPr>
              <w:t>3.</w:t>
            </w:r>
            <w:r w:rsidR="009B13F2">
              <w:rPr>
                <w:rFonts w:eastAsiaTheme="minorEastAsia"/>
                <w:color w:val="auto"/>
                <w:sz w:val="22"/>
                <w:szCs w:val="22"/>
              </w:rPr>
              <w:tab/>
            </w:r>
            <w:r w:rsidR="009B13F2" w:rsidRPr="006D1169">
              <w:rPr>
                <w:rStyle w:val="Hyperlink"/>
              </w:rPr>
              <w:t>Prejudgment Interest on Excess Surplus That GHMSI Owed to the District as of End of 2011</w:t>
            </w:r>
            <w:r w:rsidR="009B13F2">
              <w:rPr>
                <w:webHidden/>
              </w:rPr>
              <w:tab/>
            </w:r>
            <w:r w:rsidR="009B13F2">
              <w:rPr>
                <w:webHidden/>
              </w:rPr>
              <w:fldChar w:fldCharType="begin"/>
            </w:r>
            <w:r w:rsidR="009B13F2">
              <w:rPr>
                <w:webHidden/>
              </w:rPr>
              <w:instrText xml:space="preserve"> PAGEREF _Toc40193616 \h </w:instrText>
            </w:r>
            <w:r w:rsidR="009B13F2">
              <w:rPr>
                <w:webHidden/>
              </w:rPr>
            </w:r>
            <w:r w:rsidR="009B13F2">
              <w:rPr>
                <w:webHidden/>
              </w:rPr>
              <w:fldChar w:fldCharType="separate"/>
            </w:r>
            <w:r w:rsidR="009B13F2">
              <w:rPr>
                <w:webHidden/>
              </w:rPr>
              <w:t>14</w:t>
            </w:r>
            <w:r w:rsidR="009B13F2">
              <w:rPr>
                <w:webHidden/>
              </w:rPr>
              <w:fldChar w:fldCharType="end"/>
            </w:r>
          </w:hyperlink>
        </w:p>
        <w:p w:rsidR="009B13F2" w:rsidRDefault="00A83E1F">
          <w:pPr>
            <w:pStyle w:val="TOC3"/>
            <w:tabs>
              <w:tab w:val="left" w:pos="2160"/>
            </w:tabs>
            <w:rPr>
              <w:rFonts w:eastAsiaTheme="minorEastAsia"/>
              <w:color w:val="auto"/>
              <w:sz w:val="22"/>
              <w:szCs w:val="22"/>
            </w:rPr>
          </w:pPr>
          <w:hyperlink w:anchor="_Toc40193617" w:history="1">
            <w:r w:rsidR="009B13F2" w:rsidRPr="006D1169">
              <w:rPr>
                <w:rStyle w:val="Hyperlink"/>
              </w:rPr>
              <w:t>4.</w:t>
            </w:r>
            <w:r w:rsidR="009B13F2">
              <w:rPr>
                <w:rFonts w:eastAsiaTheme="minorEastAsia"/>
                <w:color w:val="auto"/>
                <w:sz w:val="22"/>
                <w:szCs w:val="22"/>
              </w:rPr>
              <w:tab/>
            </w:r>
            <w:r w:rsidR="009B13F2" w:rsidRPr="006D1169">
              <w:rPr>
                <w:rStyle w:val="Hyperlink"/>
              </w:rPr>
              <w:t>Reimbursement of Appleseed’s Actuarial Fees</w:t>
            </w:r>
            <w:r w:rsidR="009B13F2">
              <w:rPr>
                <w:webHidden/>
              </w:rPr>
              <w:tab/>
            </w:r>
            <w:r w:rsidR="009B13F2">
              <w:rPr>
                <w:webHidden/>
              </w:rPr>
              <w:fldChar w:fldCharType="begin"/>
            </w:r>
            <w:r w:rsidR="009B13F2">
              <w:rPr>
                <w:webHidden/>
              </w:rPr>
              <w:instrText xml:space="preserve"> PAGEREF _Toc40193617 \h </w:instrText>
            </w:r>
            <w:r w:rsidR="009B13F2">
              <w:rPr>
                <w:webHidden/>
              </w:rPr>
            </w:r>
            <w:r w:rsidR="009B13F2">
              <w:rPr>
                <w:webHidden/>
              </w:rPr>
              <w:fldChar w:fldCharType="separate"/>
            </w:r>
            <w:r w:rsidR="009B13F2">
              <w:rPr>
                <w:webHidden/>
              </w:rPr>
              <w:t>16</w:t>
            </w:r>
            <w:r w:rsidR="009B13F2">
              <w:rPr>
                <w:webHidden/>
              </w:rPr>
              <w:fldChar w:fldCharType="end"/>
            </w:r>
          </w:hyperlink>
        </w:p>
        <w:p w:rsidR="009B13F2" w:rsidRDefault="00A83E1F">
          <w:pPr>
            <w:pStyle w:val="TOC3"/>
            <w:tabs>
              <w:tab w:val="left" w:pos="2160"/>
            </w:tabs>
            <w:rPr>
              <w:rFonts w:eastAsiaTheme="minorEastAsia"/>
              <w:color w:val="auto"/>
              <w:sz w:val="22"/>
              <w:szCs w:val="22"/>
            </w:rPr>
          </w:pPr>
          <w:hyperlink w:anchor="_Toc40193618" w:history="1">
            <w:r w:rsidR="009B13F2" w:rsidRPr="006D1169">
              <w:rPr>
                <w:rStyle w:val="Hyperlink"/>
              </w:rPr>
              <w:t>5.</w:t>
            </w:r>
            <w:r w:rsidR="009B13F2">
              <w:rPr>
                <w:rFonts w:eastAsiaTheme="minorEastAsia"/>
                <w:color w:val="auto"/>
                <w:sz w:val="22"/>
                <w:szCs w:val="22"/>
              </w:rPr>
              <w:tab/>
            </w:r>
            <w:r w:rsidR="009B13F2" w:rsidRPr="006D1169">
              <w:rPr>
                <w:rStyle w:val="Hyperlink"/>
              </w:rPr>
              <w:t>Determination of an Appropriate Plan for Community Health Reinvestment of GHMSI’s Excess Surplus</w:t>
            </w:r>
            <w:r w:rsidR="009B13F2">
              <w:rPr>
                <w:webHidden/>
              </w:rPr>
              <w:tab/>
            </w:r>
            <w:r w:rsidR="009B13F2">
              <w:rPr>
                <w:webHidden/>
              </w:rPr>
              <w:fldChar w:fldCharType="begin"/>
            </w:r>
            <w:r w:rsidR="009B13F2">
              <w:rPr>
                <w:webHidden/>
              </w:rPr>
              <w:instrText xml:space="preserve"> PAGEREF _Toc40193618 \h </w:instrText>
            </w:r>
            <w:r w:rsidR="009B13F2">
              <w:rPr>
                <w:webHidden/>
              </w:rPr>
            </w:r>
            <w:r w:rsidR="009B13F2">
              <w:rPr>
                <w:webHidden/>
              </w:rPr>
              <w:fldChar w:fldCharType="separate"/>
            </w:r>
            <w:r w:rsidR="009B13F2">
              <w:rPr>
                <w:webHidden/>
              </w:rPr>
              <w:t>18</w:t>
            </w:r>
            <w:r w:rsidR="009B13F2">
              <w:rPr>
                <w:webHidden/>
              </w:rPr>
              <w:fldChar w:fldCharType="end"/>
            </w:r>
          </w:hyperlink>
        </w:p>
        <w:p w:rsidR="009B13F2" w:rsidRDefault="00A83E1F">
          <w:pPr>
            <w:pStyle w:val="TOC2"/>
            <w:tabs>
              <w:tab w:val="left" w:pos="1440"/>
            </w:tabs>
            <w:rPr>
              <w:rFonts w:eastAsiaTheme="minorEastAsia"/>
              <w:color w:val="auto"/>
              <w:sz w:val="22"/>
              <w:szCs w:val="22"/>
            </w:rPr>
          </w:pPr>
          <w:hyperlink w:anchor="_Toc40193619" w:history="1">
            <w:r w:rsidR="009B13F2" w:rsidRPr="006D1169">
              <w:rPr>
                <w:rStyle w:val="Hyperlink"/>
              </w:rPr>
              <w:t>B.</w:t>
            </w:r>
            <w:r w:rsidR="009B13F2">
              <w:rPr>
                <w:rFonts w:eastAsiaTheme="minorEastAsia"/>
                <w:color w:val="auto"/>
                <w:sz w:val="22"/>
                <w:szCs w:val="22"/>
              </w:rPr>
              <w:tab/>
            </w:r>
            <w:r w:rsidR="009B13F2" w:rsidRPr="006D1169">
              <w:rPr>
                <w:rStyle w:val="Hyperlink"/>
                <w:rFonts w:cstheme="minorHAnsi"/>
              </w:rPr>
              <w:t>Other Issues for a DISB Final Order</w:t>
            </w:r>
            <w:r w:rsidR="009B13F2">
              <w:rPr>
                <w:webHidden/>
              </w:rPr>
              <w:tab/>
            </w:r>
            <w:r w:rsidR="009B13F2">
              <w:rPr>
                <w:webHidden/>
              </w:rPr>
              <w:fldChar w:fldCharType="begin"/>
            </w:r>
            <w:r w:rsidR="009B13F2">
              <w:rPr>
                <w:webHidden/>
              </w:rPr>
              <w:instrText xml:space="preserve"> PAGEREF _Toc40193619 \h </w:instrText>
            </w:r>
            <w:r w:rsidR="009B13F2">
              <w:rPr>
                <w:webHidden/>
              </w:rPr>
            </w:r>
            <w:r w:rsidR="009B13F2">
              <w:rPr>
                <w:webHidden/>
              </w:rPr>
              <w:fldChar w:fldCharType="separate"/>
            </w:r>
            <w:r w:rsidR="009B13F2">
              <w:rPr>
                <w:webHidden/>
              </w:rPr>
              <w:t>20</w:t>
            </w:r>
            <w:r w:rsidR="009B13F2">
              <w:rPr>
                <w:webHidden/>
              </w:rPr>
              <w:fldChar w:fldCharType="end"/>
            </w:r>
          </w:hyperlink>
        </w:p>
        <w:p w:rsidR="009B13F2" w:rsidRDefault="00A83E1F">
          <w:pPr>
            <w:pStyle w:val="TOC2"/>
            <w:tabs>
              <w:tab w:val="left" w:pos="1440"/>
            </w:tabs>
            <w:rPr>
              <w:rFonts w:eastAsiaTheme="minorEastAsia"/>
              <w:color w:val="auto"/>
              <w:sz w:val="22"/>
              <w:szCs w:val="22"/>
            </w:rPr>
          </w:pPr>
          <w:hyperlink w:anchor="_Toc40193620" w:history="1">
            <w:r w:rsidR="009B13F2" w:rsidRPr="006D1169">
              <w:rPr>
                <w:rStyle w:val="Hyperlink"/>
                <w:rFonts w:eastAsia="Times New Roman"/>
              </w:rPr>
              <w:t>C.</w:t>
            </w:r>
            <w:r w:rsidR="009B13F2">
              <w:rPr>
                <w:rFonts w:eastAsiaTheme="minorEastAsia"/>
                <w:color w:val="auto"/>
                <w:sz w:val="22"/>
                <w:szCs w:val="22"/>
              </w:rPr>
              <w:tab/>
            </w:r>
            <w:r w:rsidR="009B13F2" w:rsidRPr="006D1169">
              <w:rPr>
                <w:rStyle w:val="Hyperlink"/>
                <w:rFonts w:eastAsia="Times New Roman"/>
              </w:rPr>
              <w:t>Further Proceedings by the Commissioner</w:t>
            </w:r>
            <w:r w:rsidR="009B13F2">
              <w:rPr>
                <w:webHidden/>
              </w:rPr>
              <w:tab/>
            </w:r>
            <w:r w:rsidR="009B13F2">
              <w:rPr>
                <w:webHidden/>
              </w:rPr>
              <w:fldChar w:fldCharType="begin"/>
            </w:r>
            <w:r w:rsidR="009B13F2">
              <w:rPr>
                <w:webHidden/>
              </w:rPr>
              <w:instrText xml:space="preserve"> PAGEREF _Toc40193620 \h </w:instrText>
            </w:r>
            <w:r w:rsidR="009B13F2">
              <w:rPr>
                <w:webHidden/>
              </w:rPr>
            </w:r>
            <w:r w:rsidR="009B13F2">
              <w:rPr>
                <w:webHidden/>
              </w:rPr>
              <w:fldChar w:fldCharType="separate"/>
            </w:r>
            <w:r w:rsidR="009B13F2">
              <w:rPr>
                <w:webHidden/>
              </w:rPr>
              <w:t>20</w:t>
            </w:r>
            <w:r w:rsidR="009B13F2">
              <w:rPr>
                <w:webHidden/>
              </w:rPr>
              <w:fldChar w:fldCharType="end"/>
            </w:r>
          </w:hyperlink>
        </w:p>
        <w:p w:rsidR="009B13F2" w:rsidRDefault="00A83E1F">
          <w:pPr>
            <w:pStyle w:val="TOC1"/>
            <w:rPr>
              <w:rFonts w:eastAsiaTheme="minorEastAsia"/>
              <w:color w:val="auto"/>
              <w:sz w:val="22"/>
              <w:szCs w:val="22"/>
            </w:rPr>
          </w:pPr>
          <w:hyperlink w:anchor="_Toc40193621" w:history="1">
            <w:r w:rsidR="009B13F2" w:rsidRPr="006D1169">
              <w:rPr>
                <w:rStyle w:val="Hyperlink"/>
                <w:rFonts w:eastAsia="Times New Roman" w:cstheme="minorHAnsi"/>
                <w:b/>
              </w:rPr>
              <w:t>CONCLUSION</w:t>
            </w:r>
            <w:r w:rsidR="009B13F2">
              <w:rPr>
                <w:webHidden/>
              </w:rPr>
              <w:tab/>
            </w:r>
            <w:r w:rsidR="009B13F2">
              <w:rPr>
                <w:webHidden/>
              </w:rPr>
              <w:fldChar w:fldCharType="begin"/>
            </w:r>
            <w:r w:rsidR="009B13F2">
              <w:rPr>
                <w:webHidden/>
              </w:rPr>
              <w:instrText xml:space="preserve"> PAGEREF _Toc40193621 \h </w:instrText>
            </w:r>
            <w:r w:rsidR="009B13F2">
              <w:rPr>
                <w:webHidden/>
              </w:rPr>
            </w:r>
            <w:r w:rsidR="009B13F2">
              <w:rPr>
                <w:webHidden/>
              </w:rPr>
              <w:fldChar w:fldCharType="separate"/>
            </w:r>
            <w:r w:rsidR="009B13F2">
              <w:rPr>
                <w:webHidden/>
              </w:rPr>
              <w:t>21</w:t>
            </w:r>
            <w:r w:rsidR="009B13F2">
              <w:rPr>
                <w:webHidden/>
              </w:rPr>
              <w:fldChar w:fldCharType="end"/>
            </w:r>
          </w:hyperlink>
        </w:p>
        <w:p w:rsidR="00CF23E9" w:rsidRDefault="00A27B56">
          <w:r>
            <w:rPr>
              <w:b/>
              <w:bCs/>
              <w:noProof/>
            </w:rPr>
            <w:fldChar w:fldCharType="end"/>
          </w:r>
        </w:p>
      </w:sdtContent>
    </w:sdt>
    <w:p w:rsidR="00EC6FF5" w:rsidRDefault="00EC6FF5" w:rsidP="008C1936">
      <w:pPr>
        <w:rPr>
          <w:rFonts w:ascii="Times New Roman" w:hAnsi="Times New Roman" w:cs="Times New Roman"/>
          <w:sz w:val="28"/>
          <w:szCs w:val="28"/>
        </w:rPr>
        <w:sectPr w:rsidR="00EC6FF5" w:rsidSect="005D1BEE">
          <w:pgSz w:w="12240" w:h="15840"/>
          <w:pgMar w:top="1440" w:right="1440" w:bottom="1440" w:left="1440" w:header="720" w:footer="720" w:gutter="0"/>
          <w:pgNumType w:fmt="lowerRoman"/>
          <w:cols w:space="720"/>
          <w:docGrid w:linePitch="360"/>
        </w:sectPr>
      </w:pPr>
    </w:p>
    <w:p w:rsidR="007371EF" w:rsidRDefault="007371EF" w:rsidP="008C1936">
      <w:pPr>
        <w:rPr>
          <w:rFonts w:ascii="Times New Roman" w:hAnsi="Times New Roman" w:cs="Times New Roman"/>
          <w:sz w:val="28"/>
          <w:szCs w:val="28"/>
        </w:rPr>
      </w:pPr>
    </w:p>
    <w:p w:rsidR="008C1936" w:rsidRPr="004B2F56" w:rsidRDefault="00CF23E9" w:rsidP="00B14007">
      <w:pPr>
        <w:pStyle w:val="Heading1"/>
        <w:keepNext/>
        <w:numPr>
          <w:ilvl w:val="0"/>
          <w:numId w:val="0"/>
        </w:numPr>
        <w:ind w:left="720" w:hanging="720"/>
        <w:jc w:val="center"/>
        <w:rPr>
          <w:b/>
          <w:szCs w:val="24"/>
        </w:rPr>
      </w:pPr>
      <w:bookmarkStart w:id="1" w:name="_Toc40193607"/>
      <w:r>
        <w:rPr>
          <w:b/>
          <w:szCs w:val="24"/>
        </w:rPr>
        <w:t>INTRODUCTION</w:t>
      </w:r>
      <w:bookmarkEnd w:id="1"/>
    </w:p>
    <w:p w:rsidR="00C51D68" w:rsidRPr="00CF23E9" w:rsidRDefault="007371EF" w:rsidP="00843A59">
      <w:pPr>
        <w:spacing w:after="240"/>
        <w:ind w:firstLine="720"/>
        <w:jc w:val="both"/>
        <w:rPr>
          <w:rFonts w:ascii="Times New Roman" w:hAnsi="Times New Roman" w:cs="Times New Roman"/>
        </w:rPr>
      </w:pPr>
      <w:r w:rsidRPr="00CF23E9">
        <w:rPr>
          <w:rFonts w:ascii="Times New Roman" w:hAnsi="Times New Roman" w:cs="Times New Roman"/>
        </w:rPr>
        <w:t xml:space="preserve">More than </w:t>
      </w:r>
      <w:r w:rsidR="00C51D68" w:rsidRPr="00CF23E9">
        <w:rPr>
          <w:rFonts w:ascii="Times New Roman" w:hAnsi="Times New Roman" w:cs="Times New Roman"/>
        </w:rPr>
        <w:t xml:space="preserve">eleven </w:t>
      </w:r>
      <w:r w:rsidRPr="00CF23E9">
        <w:rPr>
          <w:rFonts w:ascii="Times New Roman" w:hAnsi="Times New Roman" w:cs="Times New Roman"/>
        </w:rPr>
        <w:t>years ago</w:t>
      </w:r>
      <w:r w:rsidR="007E73D8" w:rsidRPr="00CF23E9">
        <w:rPr>
          <w:rFonts w:ascii="Times New Roman" w:hAnsi="Times New Roman" w:cs="Times New Roman"/>
        </w:rPr>
        <w:t xml:space="preserve"> – </w:t>
      </w:r>
      <w:r w:rsidR="005674A2" w:rsidRPr="00CF23E9">
        <w:rPr>
          <w:rFonts w:ascii="Times New Roman" w:hAnsi="Times New Roman" w:cs="Times New Roman"/>
        </w:rPr>
        <w:t xml:space="preserve">in </w:t>
      </w:r>
      <w:r w:rsidRPr="00CF23E9">
        <w:rPr>
          <w:rFonts w:ascii="Times New Roman" w:hAnsi="Times New Roman" w:cs="Times New Roman"/>
        </w:rPr>
        <w:t>Jan</w:t>
      </w:r>
      <w:r w:rsidR="001327ED" w:rsidRPr="00CF23E9">
        <w:rPr>
          <w:rFonts w:ascii="Times New Roman" w:hAnsi="Times New Roman" w:cs="Times New Roman"/>
        </w:rPr>
        <w:t>uary</w:t>
      </w:r>
      <w:r w:rsidRPr="00CF23E9">
        <w:rPr>
          <w:rFonts w:ascii="Times New Roman" w:hAnsi="Times New Roman" w:cs="Times New Roman"/>
        </w:rPr>
        <w:t xml:space="preserve"> 2009 – the D.C. Council passed </w:t>
      </w:r>
      <w:r w:rsidR="006665C0" w:rsidRPr="00CF23E9">
        <w:rPr>
          <w:rFonts w:ascii="Times New Roman" w:hAnsi="Times New Roman" w:cs="Times New Roman"/>
        </w:rPr>
        <w:t>the Medical Insurance Empowerment Amendment Act</w:t>
      </w:r>
      <w:r w:rsidR="00336ED8" w:rsidRPr="00CF23E9">
        <w:rPr>
          <w:rFonts w:ascii="Times New Roman" w:hAnsi="Times New Roman" w:cs="Times New Roman"/>
        </w:rPr>
        <w:t xml:space="preserve"> (“</w:t>
      </w:r>
      <w:proofErr w:type="spellStart"/>
      <w:r w:rsidR="00336ED8" w:rsidRPr="00CF23E9">
        <w:rPr>
          <w:rFonts w:ascii="Times New Roman" w:hAnsi="Times New Roman" w:cs="Times New Roman"/>
        </w:rPr>
        <w:t>MIEAA</w:t>
      </w:r>
      <w:proofErr w:type="spellEnd"/>
      <w:r w:rsidR="00336ED8" w:rsidRPr="00CF23E9">
        <w:rPr>
          <w:rFonts w:ascii="Times New Roman" w:hAnsi="Times New Roman" w:cs="Times New Roman"/>
        </w:rPr>
        <w:t>” or “the Act”)</w:t>
      </w:r>
      <w:r w:rsidRPr="00CF23E9">
        <w:rPr>
          <w:rFonts w:ascii="Times New Roman" w:hAnsi="Times New Roman" w:cs="Times New Roman"/>
        </w:rPr>
        <w:t xml:space="preserve">. </w:t>
      </w:r>
      <w:r w:rsidR="001327ED" w:rsidRPr="00CF23E9">
        <w:rPr>
          <w:rFonts w:ascii="Times New Roman" w:hAnsi="Times New Roman" w:cs="Times New Roman"/>
        </w:rPr>
        <w:t>T</w:t>
      </w:r>
      <w:r w:rsidRPr="00CF23E9">
        <w:rPr>
          <w:rFonts w:ascii="Times New Roman" w:hAnsi="Times New Roman" w:cs="Times New Roman"/>
        </w:rPr>
        <w:t>h</w:t>
      </w:r>
      <w:r w:rsidR="00336ED8" w:rsidRPr="00CF23E9">
        <w:rPr>
          <w:rFonts w:ascii="Times New Roman" w:hAnsi="Times New Roman" w:cs="Times New Roman"/>
        </w:rPr>
        <w:t>e Act</w:t>
      </w:r>
      <w:r w:rsidRPr="00CF23E9">
        <w:rPr>
          <w:rFonts w:ascii="Times New Roman" w:hAnsi="Times New Roman" w:cs="Times New Roman"/>
        </w:rPr>
        <w:t xml:space="preserve"> </w:t>
      </w:r>
      <w:r w:rsidR="00336ED8" w:rsidRPr="00CF23E9">
        <w:rPr>
          <w:rFonts w:ascii="Times New Roman" w:hAnsi="Times New Roman" w:cs="Times New Roman"/>
        </w:rPr>
        <w:t xml:space="preserve">requires </w:t>
      </w:r>
      <w:r w:rsidR="00C51D68" w:rsidRPr="00CF23E9">
        <w:rPr>
          <w:rFonts w:ascii="Times New Roman" w:hAnsi="Times New Roman" w:cs="Times New Roman"/>
        </w:rPr>
        <w:t xml:space="preserve">the </w:t>
      </w:r>
      <w:r w:rsidR="006665C0" w:rsidRPr="00CF23E9">
        <w:rPr>
          <w:rFonts w:ascii="Times New Roman" w:hAnsi="Times New Roman" w:cs="Times New Roman"/>
        </w:rPr>
        <w:t xml:space="preserve">Department of Insurance, </w:t>
      </w:r>
      <w:r w:rsidR="001E3FBE" w:rsidRPr="00CF23E9">
        <w:rPr>
          <w:rFonts w:ascii="Times New Roman" w:hAnsi="Times New Roman" w:cs="Times New Roman"/>
        </w:rPr>
        <w:t>Securities</w:t>
      </w:r>
      <w:r w:rsidR="006665C0" w:rsidRPr="00CF23E9">
        <w:rPr>
          <w:rFonts w:ascii="Times New Roman" w:hAnsi="Times New Roman" w:cs="Times New Roman"/>
        </w:rPr>
        <w:t>, and Banking</w:t>
      </w:r>
      <w:r w:rsidR="00336ED8" w:rsidRPr="00CF23E9">
        <w:rPr>
          <w:rFonts w:ascii="Times New Roman" w:hAnsi="Times New Roman" w:cs="Times New Roman"/>
        </w:rPr>
        <w:t xml:space="preserve"> (“</w:t>
      </w:r>
      <w:proofErr w:type="spellStart"/>
      <w:r w:rsidR="00C51D68" w:rsidRPr="00CF23E9">
        <w:rPr>
          <w:rFonts w:ascii="Times New Roman" w:hAnsi="Times New Roman" w:cs="Times New Roman"/>
        </w:rPr>
        <w:t>DISB</w:t>
      </w:r>
      <w:proofErr w:type="spellEnd"/>
      <w:r w:rsidR="00336ED8" w:rsidRPr="00CF23E9">
        <w:rPr>
          <w:rFonts w:ascii="Times New Roman" w:hAnsi="Times New Roman" w:cs="Times New Roman"/>
        </w:rPr>
        <w:t>”)</w:t>
      </w:r>
      <w:r w:rsidR="00C51D68" w:rsidRPr="00CF23E9">
        <w:rPr>
          <w:rFonts w:ascii="Times New Roman" w:hAnsi="Times New Roman" w:cs="Times New Roman"/>
        </w:rPr>
        <w:t xml:space="preserve"> to</w:t>
      </w:r>
      <w:r w:rsidRPr="00CF23E9">
        <w:rPr>
          <w:rFonts w:ascii="Times New Roman" w:hAnsi="Times New Roman" w:cs="Times New Roman"/>
        </w:rPr>
        <w:t xml:space="preserve"> hold </w:t>
      </w:r>
      <w:r w:rsidR="006665C0" w:rsidRPr="00CF23E9">
        <w:rPr>
          <w:rFonts w:ascii="Times New Roman" w:hAnsi="Times New Roman" w:cs="Times New Roman"/>
        </w:rPr>
        <w:t>Group Hospitalization and Medical Services, Inc.</w:t>
      </w:r>
      <w:r w:rsidR="00336ED8" w:rsidRPr="00CF23E9">
        <w:rPr>
          <w:rFonts w:ascii="Times New Roman" w:hAnsi="Times New Roman" w:cs="Times New Roman"/>
        </w:rPr>
        <w:t xml:space="preserve"> (“</w:t>
      </w:r>
      <w:proofErr w:type="spellStart"/>
      <w:r w:rsidRPr="00CF23E9">
        <w:rPr>
          <w:rFonts w:ascii="Times New Roman" w:hAnsi="Times New Roman" w:cs="Times New Roman"/>
        </w:rPr>
        <w:t>GHMSI</w:t>
      </w:r>
      <w:proofErr w:type="spellEnd"/>
      <w:r w:rsidR="00336ED8" w:rsidRPr="00CF23E9">
        <w:rPr>
          <w:rFonts w:ascii="Times New Roman" w:hAnsi="Times New Roman" w:cs="Times New Roman"/>
        </w:rPr>
        <w:t>”)</w:t>
      </w:r>
      <w:r w:rsidRPr="00CF23E9">
        <w:rPr>
          <w:rFonts w:ascii="Times New Roman" w:hAnsi="Times New Roman" w:cs="Times New Roman"/>
        </w:rPr>
        <w:t xml:space="preserve"> accou</w:t>
      </w:r>
      <w:r w:rsidR="001327ED" w:rsidRPr="00CF23E9">
        <w:rPr>
          <w:rFonts w:ascii="Times New Roman" w:hAnsi="Times New Roman" w:cs="Times New Roman"/>
        </w:rPr>
        <w:t>nt</w:t>
      </w:r>
      <w:r w:rsidRPr="00CF23E9">
        <w:rPr>
          <w:rFonts w:ascii="Times New Roman" w:hAnsi="Times New Roman" w:cs="Times New Roman"/>
        </w:rPr>
        <w:t>able to its no</w:t>
      </w:r>
      <w:r w:rsidR="001327ED" w:rsidRPr="00CF23E9">
        <w:rPr>
          <w:rFonts w:ascii="Times New Roman" w:hAnsi="Times New Roman" w:cs="Times New Roman"/>
        </w:rPr>
        <w:t>n</w:t>
      </w:r>
      <w:r w:rsidRPr="00CF23E9">
        <w:rPr>
          <w:rFonts w:ascii="Times New Roman" w:hAnsi="Times New Roman" w:cs="Times New Roman"/>
        </w:rPr>
        <w:t>profit m</w:t>
      </w:r>
      <w:r w:rsidR="001327ED" w:rsidRPr="00CF23E9">
        <w:rPr>
          <w:rFonts w:ascii="Times New Roman" w:hAnsi="Times New Roman" w:cs="Times New Roman"/>
        </w:rPr>
        <w:t>i</w:t>
      </w:r>
      <w:r w:rsidRPr="00CF23E9">
        <w:rPr>
          <w:rFonts w:ascii="Times New Roman" w:hAnsi="Times New Roman" w:cs="Times New Roman"/>
        </w:rPr>
        <w:t xml:space="preserve">ssion </w:t>
      </w:r>
      <w:r w:rsidR="005E24D0" w:rsidRPr="00CF23E9">
        <w:rPr>
          <w:rFonts w:ascii="Times New Roman" w:hAnsi="Times New Roman" w:cs="Times New Roman"/>
        </w:rPr>
        <w:t xml:space="preserve">and federal charter </w:t>
      </w:r>
      <w:r w:rsidRPr="00CF23E9">
        <w:rPr>
          <w:rFonts w:ascii="Times New Roman" w:hAnsi="Times New Roman" w:cs="Times New Roman"/>
        </w:rPr>
        <w:t xml:space="preserve">by </w:t>
      </w:r>
      <w:r w:rsidR="00B64083" w:rsidRPr="00CF23E9">
        <w:rPr>
          <w:rFonts w:ascii="Times New Roman" w:hAnsi="Times New Roman" w:cs="Times New Roman"/>
        </w:rPr>
        <w:t xml:space="preserve">ordering </w:t>
      </w:r>
      <w:proofErr w:type="spellStart"/>
      <w:r w:rsidR="00A52447" w:rsidRPr="00CF23E9">
        <w:rPr>
          <w:rFonts w:ascii="Times New Roman" w:hAnsi="Times New Roman" w:cs="Times New Roman"/>
        </w:rPr>
        <w:t>GHMSI</w:t>
      </w:r>
      <w:proofErr w:type="spellEnd"/>
      <w:r w:rsidR="00A52447" w:rsidRPr="00CF23E9">
        <w:rPr>
          <w:rFonts w:ascii="Times New Roman" w:hAnsi="Times New Roman" w:cs="Times New Roman"/>
        </w:rPr>
        <w:t xml:space="preserve"> </w:t>
      </w:r>
      <w:r w:rsidR="00B64083" w:rsidRPr="00CF23E9">
        <w:rPr>
          <w:rFonts w:ascii="Times New Roman" w:hAnsi="Times New Roman" w:cs="Times New Roman"/>
        </w:rPr>
        <w:t xml:space="preserve">to </w:t>
      </w:r>
      <w:r w:rsidR="00B51459" w:rsidRPr="00CF23E9">
        <w:rPr>
          <w:rFonts w:ascii="Times New Roman" w:hAnsi="Times New Roman" w:cs="Times New Roman"/>
        </w:rPr>
        <w:t>spend</w:t>
      </w:r>
      <w:r w:rsidRPr="00CF23E9">
        <w:rPr>
          <w:rFonts w:ascii="Times New Roman" w:hAnsi="Times New Roman" w:cs="Times New Roman"/>
        </w:rPr>
        <w:t xml:space="preserve"> the maximum feasible amo</w:t>
      </w:r>
      <w:r w:rsidR="001327ED" w:rsidRPr="00CF23E9">
        <w:rPr>
          <w:rFonts w:ascii="Times New Roman" w:hAnsi="Times New Roman" w:cs="Times New Roman"/>
        </w:rPr>
        <w:t>un</w:t>
      </w:r>
      <w:r w:rsidRPr="00CF23E9">
        <w:rPr>
          <w:rFonts w:ascii="Times New Roman" w:hAnsi="Times New Roman" w:cs="Times New Roman"/>
        </w:rPr>
        <w:t xml:space="preserve">t of </w:t>
      </w:r>
      <w:r w:rsidR="001327ED" w:rsidRPr="00CF23E9">
        <w:rPr>
          <w:rFonts w:ascii="Times New Roman" w:hAnsi="Times New Roman" w:cs="Times New Roman"/>
        </w:rPr>
        <w:t>its</w:t>
      </w:r>
      <w:r w:rsidRPr="00CF23E9">
        <w:rPr>
          <w:rFonts w:ascii="Times New Roman" w:hAnsi="Times New Roman" w:cs="Times New Roman"/>
        </w:rPr>
        <w:t xml:space="preserve"> surplus </w:t>
      </w:r>
      <w:r w:rsidR="00B048E2">
        <w:rPr>
          <w:rFonts w:ascii="Times New Roman" w:hAnsi="Times New Roman" w:cs="Times New Roman"/>
        </w:rPr>
        <w:t xml:space="preserve">attributable to the District of Columbia </w:t>
      </w:r>
      <w:r w:rsidRPr="00CF23E9">
        <w:rPr>
          <w:rFonts w:ascii="Times New Roman" w:hAnsi="Times New Roman" w:cs="Times New Roman"/>
        </w:rPr>
        <w:t xml:space="preserve">to </w:t>
      </w:r>
      <w:r w:rsidR="00B51459" w:rsidRPr="00CF23E9">
        <w:rPr>
          <w:rFonts w:ascii="Times New Roman" w:hAnsi="Times New Roman" w:cs="Times New Roman"/>
        </w:rPr>
        <w:t xml:space="preserve">address </w:t>
      </w:r>
      <w:r w:rsidR="001327ED" w:rsidRPr="00CF23E9">
        <w:rPr>
          <w:rFonts w:ascii="Times New Roman" w:hAnsi="Times New Roman" w:cs="Times New Roman"/>
        </w:rPr>
        <w:t>health</w:t>
      </w:r>
      <w:r w:rsidRPr="00CF23E9">
        <w:rPr>
          <w:rFonts w:ascii="Times New Roman" w:hAnsi="Times New Roman" w:cs="Times New Roman"/>
        </w:rPr>
        <w:t xml:space="preserve"> </w:t>
      </w:r>
      <w:r w:rsidR="001327ED" w:rsidRPr="00CF23E9">
        <w:rPr>
          <w:rFonts w:ascii="Times New Roman" w:hAnsi="Times New Roman" w:cs="Times New Roman"/>
        </w:rPr>
        <w:t>needs</w:t>
      </w:r>
      <w:r w:rsidRPr="00CF23E9">
        <w:rPr>
          <w:rFonts w:ascii="Times New Roman" w:hAnsi="Times New Roman" w:cs="Times New Roman"/>
        </w:rPr>
        <w:t xml:space="preserve"> in the </w:t>
      </w:r>
      <w:r w:rsidR="001327ED" w:rsidRPr="00CF23E9">
        <w:rPr>
          <w:rFonts w:ascii="Times New Roman" w:hAnsi="Times New Roman" w:cs="Times New Roman"/>
        </w:rPr>
        <w:t>District</w:t>
      </w:r>
      <w:r w:rsidRPr="00CF23E9">
        <w:rPr>
          <w:rFonts w:ascii="Times New Roman" w:hAnsi="Times New Roman" w:cs="Times New Roman"/>
        </w:rPr>
        <w:t>.</w:t>
      </w:r>
      <w:r w:rsidR="00172EEE" w:rsidRPr="00CF23E9">
        <w:rPr>
          <w:rFonts w:ascii="Times New Roman" w:hAnsi="Times New Roman" w:cs="Times New Roman"/>
        </w:rPr>
        <w:t xml:space="preserve"> </w:t>
      </w:r>
      <w:proofErr w:type="spellStart"/>
      <w:r w:rsidR="00172EEE" w:rsidRPr="00CF23E9">
        <w:rPr>
          <w:rFonts w:ascii="Times New Roman" w:hAnsi="Times New Roman" w:cs="Times New Roman"/>
        </w:rPr>
        <w:t>MIEAA</w:t>
      </w:r>
      <w:proofErr w:type="spellEnd"/>
      <w:r w:rsidR="00172EEE" w:rsidRPr="00CF23E9">
        <w:rPr>
          <w:rFonts w:ascii="Times New Roman" w:hAnsi="Times New Roman" w:cs="Times New Roman"/>
        </w:rPr>
        <w:t xml:space="preserve"> codified </w:t>
      </w:r>
      <w:proofErr w:type="spellStart"/>
      <w:r w:rsidR="00172EEE" w:rsidRPr="00CF23E9">
        <w:rPr>
          <w:rFonts w:ascii="Times New Roman" w:hAnsi="Times New Roman" w:cs="Times New Roman"/>
        </w:rPr>
        <w:t>DISB’s</w:t>
      </w:r>
      <w:proofErr w:type="spellEnd"/>
      <w:r w:rsidR="00172EEE" w:rsidRPr="00CF23E9">
        <w:rPr>
          <w:rFonts w:ascii="Times New Roman" w:hAnsi="Times New Roman" w:cs="Times New Roman"/>
        </w:rPr>
        <w:t xml:space="preserve"> </w:t>
      </w:r>
      <w:r w:rsidR="005E24D0" w:rsidRPr="00CF23E9">
        <w:rPr>
          <w:rFonts w:ascii="Times New Roman" w:hAnsi="Times New Roman" w:cs="Times New Roman"/>
        </w:rPr>
        <w:t xml:space="preserve">recognition </w:t>
      </w:r>
      <w:r w:rsidR="00172EEE" w:rsidRPr="00CF23E9">
        <w:rPr>
          <w:rFonts w:ascii="Times New Roman" w:hAnsi="Times New Roman" w:cs="Times New Roman"/>
        </w:rPr>
        <w:t xml:space="preserve">of </w:t>
      </w:r>
      <w:proofErr w:type="spellStart"/>
      <w:r w:rsidR="00172EEE" w:rsidRPr="00CF23E9">
        <w:rPr>
          <w:rFonts w:ascii="Times New Roman" w:hAnsi="Times New Roman" w:cs="Times New Roman"/>
        </w:rPr>
        <w:t>GHMSI’s</w:t>
      </w:r>
      <w:proofErr w:type="spellEnd"/>
      <w:r w:rsidR="00172EEE" w:rsidRPr="00CF23E9">
        <w:rPr>
          <w:rFonts w:ascii="Times New Roman" w:hAnsi="Times New Roman" w:cs="Times New Roman"/>
        </w:rPr>
        <w:t xml:space="preserve"> federal charter </w:t>
      </w:r>
      <w:r w:rsidR="00E27EAD">
        <w:rPr>
          <w:rFonts w:ascii="Times New Roman" w:hAnsi="Times New Roman" w:cs="Times New Roman"/>
        </w:rPr>
        <w:t>obligation</w:t>
      </w:r>
      <w:r w:rsidR="00B11FF8" w:rsidRPr="00CF23E9">
        <w:rPr>
          <w:rFonts w:ascii="Times New Roman" w:hAnsi="Times New Roman" w:cs="Times New Roman"/>
        </w:rPr>
        <w:t xml:space="preserve"> to </w:t>
      </w:r>
      <w:r w:rsidR="00172EEE" w:rsidRPr="00CF23E9">
        <w:rPr>
          <w:rFonts w:ascii="Times New Roman" w:hAnsi="Times New Roman" w:cs="Times New Roman"/>
        </w:rPr>
        <w:t>engage in charitable activity for community benefit</w:t>
      </w:r>
      <w:r w:rsidR="00B11FF8" w:rsidRPr="00CF23E9">
        <w:rPr>
          <w:rFonts w:ascii="Times New Roman" w:hAnsi="Times New Roman" w:cs="Times New Roman"/>
        </w:rPr>
        <w:t>.</w:t>
      </w:r>
      <w:r w:rsidR="00B11FF8" w:rsidRPr="00CF23E9">
        <w:rPr>
          <w:rStyle w:val="FootnoteReference"/>
          <w:rFonts w:ascii="Times New Roman" w:hAnsi="Times New Roman" w:cs="Times New Roman"/>
        </w:rPr>
        <w:footnoteReference w:id="1"/>
      </w:r>
    </w:p>
    <w:p w:rsidR="00BD3DB9" w:rsidRPr="00CF23E9" w:rsidRDefault="00C51D68" w:rsidP="00843A59">
      <w:pPr>
        <w:spacing w:after="240"/>
        <w:ind w:firstLine="720"/>
        <w:jc w:val="both"/>
        <w:rPr>
          <w:rFonts w:ascii="Times New Roman" w:hAnsi="Times New Roman" w:cs="Times New Roman"/>
        </w:rPr>
      </w:pPr>
      <w:r w:rsidRPr="00CF23E9">
        <w:rPr>
          <w:rFonts w:ascii="Times New Roman" w:hAnsi="Times New Roman" w:cs="Times New Roman"/>
        </w:rPr>
        <w:t>To this date</w:t>
      </w:r>
      <w:r w:rsidR="007E73D8" w:rsidRPr="00CF23E9">
        <w:rPr>
          <w:rFonts w:ascii="Times New Roman" w:hAnsi="Times New Roman" w:cs="Times New Roman"/>
        </w:rPr>
        <w:t xml:space="preserve"> – </w:t>
      </w:r>
      <w:r w:rsidR="00BD3DB9" w:rsidRPr="00CF23E9">
        <w:rPr>
          <w:rFonts w:ascii="Times New Roman" w:hAnsi="Times New Roman" w:cs="Times New Roman"/>
        </w:rPr>
        <w:t>eleven</w:t>
      </w:r>
      <w:r w:rsidRPr="00CF23E9">
        <w:rPr>
          <w:rFonts w:ascii="Times New Roman" w:hAnsi="Times New Roman" w:cs="Times New Roman"/>
        </w:rPr>
        <w:t xml:space="preserve"> years </w:t>
      </w:r>
      <w:r w:rsidR="00BD3DB9" w:rsidRPr="00CF23E9">
        <w:rPr>
          <w:rFonts w:ascii="Times New Roman" w:hAnsi="Times New Roman" w:cs="Times New Roman"/>
        </w:rPr>
        <w:t>after</w:t>
      </w:r>
      <w:r w:rsidRPr="00CF23E9">
        <w:rPr>
          <w:rFonts w:ascii="Times New Roman" w:hAnsi="Times New Roman" w:cs="Times New Roman"/>
        </w:rPr>
        <w:t xml:space="preserve"> the statute was </w:t>
      </w:r>
      <w:r w:rsidR="00072CA4" w:rsidRPr="00CF23E9">
        <w:rPr>
          <w:rFonts w:ascii="Times New Roman" w:hAnsi="Times New Roman" w:cs="Times New Roman"/>
        </w:rPr>
        <w:t xml:space="preserve">enacted </w:t>
      </w:r>
      <w:r w:rsidR="007E73D8" w:rsidRPr="00CF23E9">
        <w:rPr>
          <w:rFonts w:ascii="Times New Roman" w:hAnsi="Times New Roman" w:cs="Times New Roman"/>
        </w:rPr>
        <w:t>–</w:t>
      </w:r>
      <w:r w:rsidR="00CF7A1E">
        <w:rPr>
          <w:rFonts w:ascii="Times New Roman" w:hAnsi="Times New Roman" w:cs="Times New Roman"/>
        </w:rPr>
        <w:t xml:space="preserve"> </w:t>
      </w:r>
      <w:proofErr w:type="spellStart"/>
      <w:r w:rsidR="00B64083" w:rsidRPr="00CF23E9">
        <w:rPr>
          <w:rFonts w:ascii="Times New Roman" w:hAnsi="Times New Roman" w:cs="Times New Roman"/>
          <w:i/>
        </w:rPr>
        <w:t>GHMSI</w:t>
      </w:r>
      <w:proofErr w:type="spellEnd"/>
      <w:r w:rsidR="00B64083" w:rsidRPr="00CF23E9">
        <w:rPr>
          <w:rFonts w:ascii="Times New Roman" w:hAnsi="Times New Roman" w:cs="Times New Roman"/>
          <w:i/>
        </w:rPr>
        <w:t xml:space="preserve"> </w:t>
      </w:r>
      <w:r w:rsidR="005E24D0" w:rsidRPr="00CF23E9">
        <w:rPr>
          <w:rFonts w:ascii="Times New Roman" w:hAnsi="Times New Roman" w:cs="Times New Roman"/>
          <w:i/>
        </w:rPr>
        <w:t xml:space="preserve">has not yet been required </w:t>
      </w:r>
      <w:r w:rsidR="00B64083" w:rsidRPr="00CF23E9">
        <w:rPr>
          <w:rFonts w:ascii="Times New Roman" w:hAnsi="Times New Roman" w:cs="Times New Roman"/>
          <w:i/>
        </w:rPr>
        <w:t xml:space="preserve">to comply with the statute, </w:t>
      </w:r>
      <w:r w:rsidR="00BD3DB9" w:rsidRPr="00CF23E9">
        <w:rPr>
          <w:rFonts w:ascii="Times New Roman" w:hAnsi="Times New Roman" w:cs="Times New Roman"/>
        </w:rPr>
        <w:t xml:space="preserve">and </w:t>
      </w:r>
      <w:proofErr w:type="spellStart"/>
      <w:r w:rsidR="00BD3DB9" w:rsidRPr="00CF23E9">
        <w:rPr>
          <w:rFonts w:ascii="Times New Roman" w:hAnsi="Times New Roman" w:cs="Times New Roman"/>
        </w:rPr>
        <w:t>GHMSI</w:t>
      </w:r>
      <w:proofErr w:type="spellEnd"/>
      <w:r w:rsidR="00B64083" w:rsidRPr="00CF23E9">
        <w:rPr>
          <w:rFonts w:ascii="Times New Roman" w:hAnsi="Times New Roman" w:cs="Times New Roman"/>
        </w:rPr>
        <w:t xml:space="preserve"> </w:t>
      </w:r>
      <w:r w:rsidR="00BD3DB9" w:rsidRPr="00CF23E9">
        <w:rPr>
          <w:rFonts w:ascii="Times New Roman" w:hAnsi="Times New Roman" w:cs="Times New Roman"/>
          <w:i/>
        </w:rPr>
        <w:t>has</w:t>
      </w:r>
      <w:r w:rsidR="00835D14" w:rsidRPr="00CF23E9">
        <w:rPr>
          <w:rFonts w:ascii="Times New Roman" w:hAnsi="Times New Roman" w:cs="Times New Roman"/>
          <w:i/>
        </w:rPr>
        <w:t xml:space="preserve"> not</w:t>
      </w:r>
      <w:r w:rsidR="00BD3DB9" w:rsidRPr="00CF23E9">
        <w:rPr>
          <w:rFonts w:ascii="Times New Roman" w:hAnsi="Times New Roman" w:cs="Times New Roman"/>
          <w:i/>
        </w:rPr>
        <w:t xml:space="preserve"> </w:t>
      </w:r>
      <w:r w:rsidR="00981FF9" w:rsidRPr="00CF23E9">
        <w:rPr>
          <w:rFonts w:ascii="Times New Roman" w:hAnsi="Times New Roman" w:cs="Times New Roman"/>
          <w:i/>
        </w:rPr>
        <w:t>yet spent</w:t>
      </w:r>
      <w:r w:rsidR="00B64083" w:rsidRPr="00CF23E9">
        <w:rPr>
          <w:rFonts w:ascii="Times New Roman" w:hAnsi="Times New Roman" w:cs="Times New Roman"/>
          <w:i/>
        </w:rPr>
        <w:t xml:space="preserve"> </w:t>
      </w:r>
      <w:r w:rsidR="00BD3DB9" w:rsidRPr="00CF23E9">
        <w:rPr>
          <w:rFonts w:ascii="Times New Roman" w:hAnsi="Times New Roman" w:cs="Times New Roman"/>
          <w:i/>
        </w:rPr>
        <w:t>a single</w:t>
      </w:r>
      <w:r w:rsidR="00B64083" w:rsidRPr="00CF23E9">
        <w:rPr>
          <w:rFonts w:ascii="Times New Roman" w:hAnsi="Times New Roman" w:cs="Times New Roman"/>
          <w:i/>
        </w:rPr>
        <w:t xml:space="preserve"> dollar from its excessive, ever-</w:t>
      </w:r>
      <w:r w:rsidR="00BD3DB9" w:rsidRPr="00CF23E9">
        <w:rPr>
          <w:rFonts w:ascii="Times New Roman" w:hAnsi="Times New Roman" w:cs="Times New Roman"/>
          <w:i/>
        </w:rPr>
        <w:t>increasing</w:t>
      </w:r>
      <w:r w:rsidR="00B64083" w:rsidRPr="00CF23E9">
        <w:rPr>
          <w:rFonts w:ascii="Times New Roman" w:hAnsi="Times New Roman" w:cs="Times New Roman"/>
          <w:i/>
        </w:rPr>
        <w:t xml:space="preserve"> </w:t>
      </w:r>
      <w:r w:rsidR="00BD3DB9" w:rsidRPr="00CF23E9">
        <w:rPr>
          <w:rFonts w:ascii="Times New Roman" w:hAnsi="Times New Roman" w:cs="Times New Roman"/>
          <w:i/>
        </w:rPr>
        <w:t>surplus</w:t>
      </w:r>
      <w:r w:rsidR="00B64083" w:rsidRPr="00CF23E9">
        <w:rPr>
          <w:rFonts w:ascii="Times New Roman" w:hAnsi="Times New Roman" w:cs="Times New Roman"/>
          <w:i/>
        </w:rPr>
        <w:t xml:space="preserve"> on healthcare needs in the </w:t>
      </w:r>
      <w:r w:rsidR="00BD3DB9" w:rsidRPr="00CF23E9">
        <w:rPr>
          <w:rFonts w:ascii="Times New Roman" w:hAnsi="Times New Roman" w:cs="Times New Roman"/>
          <w:i/>
        </w:rPr>
        <w:t>District</w:t>
      </w:r>
      <w:r w:rsidR="00B64083" w:rsidRPr="00CF23E9">
        <w:rPr>
          <w:rFonts w:ascii="Times New Roman" w:hAnsi="Times New Roman" w:cs="Times New Roman"/>
          <w:i/>
        </w:rPr>
        <w:t>.</w:t>
      </w:r>
      <w:r w:rsidR="00B64083" w:rsidRPr="00CF23E9">
        <w:rPr>
          <w:rFonts w:ascii="Times New Roman" w:hAnsi="Times New Roman" w:cs="Times New Roman"/>
        </w:rPr>
        <w:t xml:space="preserve"> </w:t>
      </w:r>
      <w:r w:rsidR="00F028E0" w:rsidRPr="00CF23E9">
        <w:rPr>
          <w:rFonts w:ascii="Times New Roman" w:hAnsi="Times New Roman" w:cs="Times New Roman"/>
        </w:rPr>
        <w:t>Th</w:t>
      </w:r>
      <w:r w:rsidR="005E24D0" w:rsidRPr="00CF23E9">
        <w:rPr>
          <w:rFonts w:ascii="Times New Roman" w:hAnsi="Times New Roman" w:cs="Times New Roman"/>
        </w:rPr>
        <w:t xml:space="preserve">e adverse </w:t>
      </w:r>
      <w:r w:rsidR="00C3658B" w:rsidRPr="00CF23E9">
        <w:rPr>
          <w:rFonts w:ascii="Times New Roman" w:hAnsi="Times New Roman" w:cs="Times New Roman"/>
        </w:rPr>
        <w:t xml:space="preserve">effects on health care in the District due to </w:t>
      </w:r>
      <w:proofErr w:type="spellStart"/>
      <w:r w:rsidR="00C3658B" w:rsidRPr="00CF23E9">
        <w:rPr>
          <w:rFonts w:ascii="Times New Roman" w:hAnsi="Times New Roman" w:cs="Times New Roman"/>
        </w:rPr>
        <w:t>GHMSI’s</w:t>
      </w:r>
      <w:proofErr w:type="spellEnd"/>
      <w:r w:rsidR="00C3658B" w:rsidRPr="00CF23E9">
        <w:rPr>
          <w:rFonts w:ascii="Times New Roman" w:hAnsi="Times New Roman" w:cs="Times New Roman"/>
        </w:rPr>
        <w:t xml:space="preserve"> failure to adhere to the requirements of its charter </w:t>
      </w:r>
      <w:r w:rsidR="007D3618" w:rsidRPr="00CF23E9">
        <w:rPr>
          <w:rFonts w:ascii="Times New Roman" w:hAnsi="Times New Roman" w:cs="Times New Roman"/>
        </w:rPr>
        <w:t>have been</w:t>
      </w:r>
      <w:r w:rsidR="00F028E0" w:rsidRPr="00CF23E9">
        <w:rPr>
          <w:rFonts w:ascii="Times New Roman" w:hAnsi="Times New Roman" w:cs="Times New Roman"/>
        </w:rPr>
        <w:t xml:space="preserve"> compounded by the facts that (1) the Dis</w:t>
      </w:r>
      <w:r w:rsidR="007D3618" w:rsidRPr="00CF23E9">
        <w:rPr>
          <w:rFonts w:ascii="Times New Roman" w:hAnsi="Times New Roman" w:cs="Times New Roman"/>
        </w:rPr>
        <w:t>tri</w:t>
      </w:r>
      <w:r w:rsidR="00F028E0" w:rsidRPr="00CF23E9">
        <w:rPr>
          <w:rFonts w:ascii="Times New Roman" w:hAnsi="Times New Roman" w:cs="Times New Roman"/>
        </w:rPr>
        <w:t xml:space="preserve">ct </w:t>
      </w:r>
      <w:r w:rsidR="007D3618" w:rsidRPr="00CF23E9">
        <w:rPr>
          <w:rFonts w:ascii="Times New Roman" w:hAnsi="Times New Roman" w:cs="Times New Roman"/>
        </w:rPr>
        <w:t>currently</w:t>
      </w:r>
      <w:r w:rsidR="00F028E0" w:rsidRPr="00CF23E9">
        <w:rPr>
          <w:rFonts w:ascii="Times New Roman" w:hAnsi="Times New Roman" w:cs="Times New Roman"/>
        </w:rPr>
        <w:t xml:space="preserve"> faces a</w:t>
      </w:r>
      <w:r w:rsidR="007D3618" w:rsidRPr="00CF23E9">
        <w:rPr>
          <w:rFonts w:ascii="Times New Roman" w:hAnsi="Times New Roman" w:cs="Times New Roman"/>
        </w:rPr>
        <w:t xml:space="preserve"> public health emergency </w:t>
      </w:r>
      <w:r w:rsidR="00C3658B" w:rsidRPr="00CF23E9">
        <w:rPr>
          <w:rFonts w:ascii="Times New Roman" w:hAnsi="Times New Roman" w:cs="Times New Roman"/>
        </w:rPr>
        <w:t xml:space="preserve">due to </w:t>
      </w:r>
      <w:proofErr w:type="spellStart"/>
      <w:r w:rsidR="00C3658B" w:rsidRPr="00CF23E9">
        <w:rPr>
          <w:rFonts w:ascii="Times New Roman" w:hAnsi="Times New Roman" w:cs="Times New Roman"/>
        </w:rPr>
        <w:t>COVID</w:t>
      </w:r>
      <w:proofErr w:type="spellEnd"/>
      <w:r w:rsidR="00C3658B" w:rsidRPr="00CF23E9">
        <w:rPr>
          <w:rFonts w:ascii="Times New Roman" w:hAnsi="Times New Roman" w:cs="Times New Roman"/>
        </w:rPr>
        <w:t xml:space="preserve">-19 </w:t>
      </w:r>
      <w:r w:rsidR="007D3618" w:rsidRPr="00CF23E9">
        <w:rPr>
          <w:rFonts w:ascii="Times New Roman" w:hAnsi="Times New Roman" w:cs="Times New Roman"/>
        </w:rPr>
        <w:t>in which the healthcare needs of District residents are staggering; (2)</w:t>
      </w:r>
      <w:r w:rsidR="007E73D8" w:rsidRPr="00CF23E9">
        <w:rPr>
          <w:rFonts w:ascii="Times New Roman" w:hAnsi="Times New Roman" w:cs="Times New Roman"/>
        </w:rPr>
        <w:t xml:space="preserve"> </w:t>
      </w:r>
      <w:r w:rsidR="007D3618" w:rsidRPr="00CF23E9">
        <w:rPr>
          <w:rFonts w:ascii="Times New Roman" w:hAnsi="Times New Roman" w:cs="Times New Roman"/>
        </w:rPr>
        <w:t xml:space="preserve">the </w:t>
      </w:r>
      <w:r w:rsidR="007E73D8" w:rsidRPr="00CF23E9">
        <w:rPr>
          <w:rFonts w:ascii="Times New Roman" w:hAnsi="Times New Roman" w:cs="Times New Roman"/>
        </w:rPr>
        <w:t xml:space="preserve">District government’s </w:t>
      </w:r>
      <w:r w:rsidR="007D3618" w:rsidRPr="00CF23E9">
        <w:rPr>
          <w:rFonts w:ascii="Times New Roman" w:hAnsi="Times New Roman" w:cs="Times New Roman"/>
        </w:rPr>
        <w:t xml:space="preserve">ability to meet those needs has been greatly reduced by the revenue </w:t>
      </w:r>
      <w:r w:rsidR="00CF46BE" w:rsidRPr="00CF23E9">
        <w:rPr>
          <w:rFonts w:ascii="Times New Roman" w:hAnsi="Times New Roman" w:cs="Times New Roman"/>
        </w:rPr>
        <w:t>shortfall</w:t>
      </w:r>
      <w:r w:rsidR="007D3618" w:rsidRPr="00CF23E9">
        <w:rPr>
          <w:rFonts w:ascii="Times New Roman" w:hAnsi="Times New Roman" w:cs="Times New Roman"/>
        </w:rPr>
        <w:t xml:space="preserve"> the emergency has caused; and (3)</w:t>
      </w:r>
      <w:r w:rsidR="007E73D8" w:rsidRPr="00CF23E9">
        <w:rPr>
          <w:rFonts w:ascii="Times New Roman" w:hAnsi="Times New Roman" w:cs="Times New Roman"/>
        </w:rPr>
        <w:t xml:space="preserve"> </w:t>
      </w:r>
      <w:proofErr w:type="spellStart"/>
      <w:r w:rsidR="007D3618" w:rsidRPr="00CF23E9">
        <w:rPr>
          <w:rFonts w:ascii="Times New Roman" w:hAnsi="Times New Roman" w:cs="Times New Roman"/>
        </w:rPr>
        <w:t>GHMSI’s</w:t>
      </w:r>
      <w:proofErr w:type="spellEnd"/>
      <w:r w:rsidR="007D3618" w:rsidRPr="00CF23E9">
        <w:rPr>
          <w:rFonts w:ascii="Times New Roman" w:hAnsi="Times New Roman" w:cs="Times New Roman"/>
        </w:rPr>
        <w:t xml:space="preserve"> surplus</w:t>
      </w:r>
      <w:r w:rsidR="00C3658B" w:rsidRPr="00CF23E9">
        <w:rPr>
          <w:rFonts w:ascii="Times New Roman" w:hAnsi="Times New Roman" w:cs="Times New Roman"/>
        </w:rPr>
        <w:t xml:space="preserve"> </w:t>
      </w:r>
      <w:r w:rsidR="007D3618" w:rsidRPr="00CF23E9">
        <w:rPr>
          <w:rFonts w:ascii="Times New Roman" w:hAnsi="Times New Roman" w:cs="Times New Roman"/>
        </w:rPr>
        <w:t xml:space="preserve">has risen </w:t>
      </w:r>
      <w:r w:rsidR="00C3658B" w:rsidRPr="00CF23E9">
        <w:rPr>
          <w:rFonts w:ascii="Times New Roman" w:hAnsi="Times New Roman" w:cs="Times New Roman"/>
        </w:rPr>
        <w:t xml:space="preserve">even more, </w:t>
      </w:r>
      <w:r w:rsidR="007D3618" w:rsidRPr="00CF23E9">
        <w:rPr>
          <w:rFonts w:ascii="Times New Roman" w:hAnsi="Times New Roman" w:cs="Times New Roman"/>
        </w:rPr>
        <w:t xml:space="preserve">to an all-time high. </w:t>
      </w:r>
    </w:p>
    <w:p w:rsidR="00875853" w:rsidRPr="0043647F" w:rsidRDefault="00C3658B" w:rsidP="00843A59">
      <w:pPr>
        <w:spacing w:after="240"/>
        <w:ind w:firstLine="720"/>
        <w:jc w:val="both"/>
        <w:rPr>
          <w:rFonts w:cstheme="minorHAnsi"/>
        </w:rPr>
      </w:pPr>
      <w:r w:rsidRPr="00CF23E9">
        <w:rPr>
          <w:rFonts w:cstheme="minorHAnsi"/>
        </w:rPr>
        <w:t>O</w:t>
      </w:r>
      <w:r w:rsidR="00084B09" w:rsidRPr="00CF23E9">
        <w:rPr>
          <w:rFonts w:cstheme="minorHAnsi"/>
        </w:rPr>
        <w:t>n April 21, 2020, CareFirst announced that it had “</w:t>
      </w:r>
      <w:r w:rsidR="00084B09" w:rsidRPr="00CF23E9">
        <w:rPr>
          <w:rFonts w:cstheme="minorHAnsi"/>
          <w:color w:val="2F2F2F"/>
        </w:rPr>
        <w:t>earmarked an initial investment of $2 million to aid the immediate health, social and economic needs of our communities.”</w:t>
      </w:r>
      <w:r w:rsidR="0043647F" w:rsidRPr="0043647F">
        <w:rPr>
          <w:rFonts w:cstheme="minorHAnsi"/>
          <w:i/>
          <w:color w:val="2F2F2F"/>
        </w:rPr>
        <w:t xml:space="preserve"> </w:t>
      </w:r>
      <w:r w:rsidR="0043647F" w:rsidRPr="00122C0C">
        <w:rPr>
          <w:rFonts w:cstheme="minorHAnsi"/>
          <w:i/>
          <w:color w:val="2F2F2F"/>
        </w:rPr>
        <w:t xml:space="preserve">CareFirst </w:t>
      </w:r>
      <w:proofErr w:type="spellStart"/>
      <w:r w:rsidR="0043647F" w:rsidRPr="00122C0C">
        <w:rPr>
          <w:rFonts w:cstheme="minorHAnsi"/>
          <w:i/>
          <w:color w:val="2F2F2F"/>
        </w:rPr>
        <w:t>COVID</w:t>
      </w:r>
      <w:proofErr w:type="spellEnd"/>
      <w:r w:rsidR="0043647F" w:rsidRPr="00122C0C">
        <w:rPr>
          <w:rFonts w:cstheme="minorHAnsi"/>
          <w:i/>
          <w:color w:val="2F2F2F"/>
        </w:rPr>
        <w:t>-19 Response and Relief Request For Proposal</w:t>
      </w:r>
      <w:r w:rsidR="0043647F" w:rsidRPr="00122C0C">
        <w:rPr>
          <w:rFonts w:cstheme="minorHAnsi"/>
          <w:color w:val="2F2F2F"/>
        </w:rPr>
        <w:t xml:space="preserve">, </w:t>
      </w:r>
      <w:r w:rsidR="0043647F" w:rsidRPr="00122C0C">
        <w:rPr>
          <w:rFonts w:cstheme="minorHAnsi"/>
          <w:smallCaps/>
          <w:color w:val="2F2F2F"/>
        </w:rPr>
        <w:t>CareFirst</w:t>
      </w:r>
      <w:r w:rsidR="0043647F" w:rsidRPr="00122C0C">
        <w:rPr>
          <w:rFonts w:cstheme="minorHAnsi"/>
          <w:color w:val="2F2F2F"/>
        </w:rPr>
        <w:t xml:space="preserve"> (Apr. 24, 2020), https://www.carefirst.com/community/rfp/coronavirus-response-and-relief.page.</w:t>
      </w:r>
      <w:r w:rsidR="00875853" w:rsidRPr="00CF23E9">
        <w:rPr>
          <w:rFonts w:cstheme="minorHAnsi"/>
          <w:color w:val="2F2F2F"/>
        </w:rPr>
        <w:t xml:space="preserve"> CareFirst </w:t>
      </w:r>
      <w:r w:rsidRPr="00CF23E9">
        <w:rPr>
          <w:rFonts w:cstheme="minorHAnsi"/>
          <w:color w:val="2F2F2F"/>
        </w:rPr>
        <w:t xml:space="preserve">is to be commended </w:t>
      </w:r>
      <w:r w:rsidR="00875853" w:rsidRPr="00CF23E9">
        <w:rPr>
          <w:rFonts w:cstheme="minorHAnsi"/>
          <w:color w:val="2F2F2F"/>
        </w:rPr>
        <w:t xml:space="preserve">for doing so and for recognizing the “unprecedented strain on resources and capacity as a result of </w:t>
      </w:r>
      <w:proofErr w:type="spellStart"/>
      <w:r w:rsidR="00875853" w:rsidRPr="00CF23E9">
        <w:rPr>
          <w:rFonts w:cstheme="minorHAnsi"/>
          <w:color w:val="2F2F2F"/>
        </w:rPr>
        <w:t>COVID</w:t>
      </w:r>
      <w:proofErr w:type="spellEnd"/>
      <w:r w:rsidR="00875853" w:rsidRPr="00CF23E9">
        <w:rPr>
          <w:rFonts w:cstheme="minorHAnsi"/>
          <w:color w:val="2F2F2F"/>
        </w:rPr>
        <w:t xml:space="preserve">-19” and the acute impact of </w:t>
      </w:r>
      <w:proofErr w:type="spellStart"/>
      <w:r w:rsidR="00611439" w:rsidRPr="00CF23E9">
        <w:rPr>
          <w:rFonts w:cstheme="minorHAnsi"/>
          <w:color w:val="2F2F2F"/>
        </w:rPr>
        <w:t>COVID</w:t>
      </w:r>
      <w:proofErr w:type="spellEnd"/>
      <w:r w:rsidR="00611439" w:rsidRPr="00CF23E9">
        <w:rPr>
          <w:rFonts w:cstheme="minorHAnsi"/>
          <w:color w:val="2F2F2F"/>
        </w:rPr>
        <w:t xml:space="preserve">-19 </w:t>
      </w:r>
      <w:r w:rsidR="00875853" w:rsidRPr="00CF23E9">
        <w:rPr>
          <w:rFonts w:cstheme="minorHAnsi"/>
          <w:color w:val="2F2F2F"/>
        </w:rPr>
        <w:t>on “disproportionate</w:t>
      </w:r>
      <w:r w:rsidR="007D4667">
        <w:rPr>
          <w:rFonts w:cstheme="minorHAnsi"/>
          <w:color w:val="2F2F2F"/>
        </w:rPr>
        <w:t>ly disadvantaged populations.”</w:t>
      </w:r>
      <w:r w:rsidR="0043647F">
        <w:rPr>
          <w:rFonts w:cstheme="minorHAnsi"/>
          <w:color w:val="2F2F2F"/>
        </w:rPr>
        <w:t xml:space="preserve"> </w:t>
      </w:r>
      <w:r w:rsidR="0043647F">
        <w:rPr>
          <w:rFonts w:cstheme="minorHAnsi"/>
          <w:i/>
          <w:color w:val="2F2F2F"/>
        </w:rPr>
        <w:t>Id.</w:t>
      </w:r>
      <w:r w:rsidR="007D4667">
        <w:rPr>
          <w:rFonts w:cstheme="minorHAnsi"/>
          <w:color w:val="2F2F2F"/>
        </w:rPr>
        <w:t xml:space="preserve"> </w:t>
      </w:r>
      <w:r w:rsidR="008E7F91">
        <w:rPr>
          <w:rFonts w:cstheme="minorHAnsi"/>
          <w:color w:val="2F2F2F"/>
        </w:rPr>
        <w:t>D.C. Appleseed (“Appleseed”)</w:t>
      </w:r>
      <w:r w:rsidR="00875853" w:rsidRPr="00CF23E9">
        <w:rPr>
          <w:rFonts w:cstheme="minorHAnsi"/>
          <w:color w:val="2F2F2F"/>
        </w:rPr>
        <w:t xml:space="preserve"> agree</w:t>
      </w:r>
      <w:r w:rsidR="008E7F91">
        <w:rPr>
          <w:rFonts w:cstheme="minorHAnsi"/>
          <w:color w:val="2F2F2F"/>
        </w:rPr>
        <w:t>s</w:t>
      </w:r>
      <w:r w:rsidR="00875853" w:rsidRPr="00CF23E9">
        <w:rPr>
          <w:rFonts w:cstheme="minorHAnsi"/>
          <w:color w:val="2F2F2F"/>
        </w:rPr>
        <w:t xml:space="preserve"> with CareFirst’s observation that </w:t>
      </w:r>
      <w:r w:rsidR="00373DDD" w:rsidRPr="00CF23E9">
        <w:rPr>
          <w:rFonts w:cstheme="minorHAnsi"/>
          <w:color w:val="2F2F2F"/>
        </w:rPr>
        <w:t>“</w:t>
      </w:r>
      <w:r w:rsidR="00875853" w:rsidRPr="00CF23E9">
        <w:rPr>
          <w:rFonts w:cstheme="minorHAnsi"/>
          <w:color w:val="2F2F2F"/>
        </w:rPr>
        <w:t xml:space="preserve">[t]he </w:t>
      </w:r>
      <w:proofErr w:type="spellStart"/>
      <w:r w:rsidR="00875853" w:rsidRPr="00CF23E9">
        <w:rPr>
          <w:rFonts w:cstheme="minorHAnsi"/>
          <w:color w:val="2F2F2F"/>
        </w:rPr>
        <w:t>COVID</w:t>
      </w:r>
      <w:proofErr w:type="spellEnd"/>
      <w:r w:rsidR="00875853" w:rsidRPr="00CF23E9">
        <w:rPr>
          <w:rFonts w:cstheme="minorHAnsi"/>
          <w:color w:val="2F2F2F"/>
        </w:rPr>
        <w:t>-19 pandemic has highlighted the need for enhanced public health and social needs programming to support communities most impacted by the crisis.”</w:t>
      </w:r>
      <w:r w:rsidR="00C174AA">
        <w:rPr>
          <w:rStyle w:val="FootnoteReference"/>
          <w:rFonts w:cstheme="minorHAnsi"/>
          <w:color w:val="2F2F2F"/>
        </w:rPr>
        <w:footnoteReference w:id="2"/>
      </w:r>
      <w:r w:rsidR="00875853" w:rsidRPr="00CF23E9">
        <w:rPr>
          <w:rFonts w:cstheme="minorHAnsi"/>
        </w:rPr>
        <w:t xml:space="preserve"> </w:t>
      </w:r>
      <w:r w:rsidR="0043647F">
        <w:rPr>
          <w:rFonts w:cstheme="minorHAnsi"/>
          <w:i/>
        </w:rPr>
        <w:t>Id.</w:t>
      </w:r>
      <w:r w:rsidR="0043647F">
        <w:rPr>
          <w:rFonts w:cstheme="minorHAnsi"/>
        </w:rPr>
        <w:t xml:space="preserve"> </w:t>
      </w:r>
    </w:p>
    <w:p w:rsidR="008E7F91" w:rsidRPr="000A4913" w:rsidRDefault="00C3658B" w:rsidP="00843A59">
      <w:pPr>
        <w:spacing w:after="240"/>
        <w:ind w:firstLine="720"/>
        <w:jc w:val="both"/>
        <w:rPr>
          <w:rFonts w:eastAsia="Times New Roman" w:cstheme="minorHAnsi"/>
          <w:color w:val="2F2F2F"/>
        </w:rPr>
      </w:pPr>
      <w:r w:rsidRPr="00CF23E9">
        <w:rPr>
          <w:rFonts w:eastAsia="Times New Roman" w:cstheme="minorHAnsi"/>
        </w:rPr>
        <w:t>D</w:t>
      </w:r>
      <w:r w:rsidR="00373DDD" w:rsidRPr="00CF23E9">
        <w:rPr>
          <w:rFonts w:eastAsia="Times New Roman" w:cstheme="minorHAnsi"/>
        </w:rPr>
        <w:t xml:space="preserve">uring </w:t>
      </w:r>
      <w:r w:rsidR="00611439" w:rsidRPr="00CF23E9">
        <w:rPr>
          <w:rFonts w:eastAsia="Times New Roman" w:cstheme="minorHAnsi"/>
        </w:rPr>
        <w:t>th</w:t>
      </w:r>
      <w:r w:rsidRPr="00CF23E9">
        <w:rPr>
          <w:rFonts w:eastAsia="Times New Roman" w:cstheme="minorHAnsi"/>
        </w:rPr>
        <w:t>at</w:t>
      </w:r>
      <w:r w:rsidR="00611439" w:rsidRPr="00CF23E9">
        <w:rPr>
          <w:rFonts w:eastAsia="Times New Roman" w:cstheme="minorHAnsi"/>
        </w:rPr>
        <w:t xml:space="preserve"> earmarking process, CareFirst “</w:t>
      </w:r>
      <w:r w:rsidR="00611439" w:rsidRPr="00CF23E9">
        <w:rPr>
          <w:rFonts w:cstheme="minorHAnsi"/>
          <w:color w:val="2F2F2F"/>
        </w:rPr>
        <w:t xml:space="preserve">engaged more than 60 organizations to understand the most critical needs arising from </w:t>
      </w:r>
      <w:proofErr w:type="spellStart"/>
      <w:r w:rsidR="00611439" w:rsidRPr="00CF23E9">
        <w:rPr>
          <w:rFonts w:cstheme="minorHAnsi"/>
          <w:color w:val="2F2F2F"/>
        </w:rPr>
        <w:t>COVID</w:t>
      </w:r>
      <w:proofErr w:type="spellEnd"/>
      <w:r w:rsidR="00611439" w:rsidRPr="00CF23E9">
        <w:rPr>
          <w:rFonts w:cstheme="minorHAnsi"/>
          <w:color w:val="2F2F2F"/>
        </w:rPr>
        <w:t>-19</w:t>
      </w:r>
      <w:r w:rsidR="00373DDD" w:rsidRPr="00755626">
        <w:rPr>
          <w:rFonts w:cstheme="minorHAnsi"/>
          <w:color w:val="2F2F2F"/>
        </w:rPr>
        <w:t>.</w:t>
      </w:r>
      <w:r w:rsidR="00611439" w:rsidRPr="00755626">
        <w:rPr>
          <w:rFonts w:cstheme="minorHAnsi"/>
          <w:color w:val="2F2F2F"/>
        </w:rPr>
        <w:t>”</w:t>
      </w:r>
      <w:r w:rsidR="0043647F">
        <w:rPr>
          <w:rFonts w:cstheme="minorHAnsi"/>
          <w:color w:val="2F2F2F"/>
        </w:rPr>
        <w:t xml:space="preserve"> </w:t>
      </w:r>
      <w:r w:rsidR="0043647F">
        <w:rPr>
          <w:rFonts w:cstheme="minorHAnsi"/>
          <w:i/>
          <w:color w:val="2F2F2F"/>
        </w:rPr>
        <w:t>Id.</w:t>
      </w:r>
      <w:r w:rsidR="008B10FF" w:rsidRPr="00755626">
        <w:rPr>
          <w:rFonts w:cstheme="minorHAnsi"/>
          <w:color w:val="2F2F2F"/>
        </w:rPr>
        <w:t xml:space="preserve"> </w:t>
      </w:r>
      <w:r w:rsidR="00373DDD" w:rsidRPr="00755626">
        <w:rPr>
          <w:rFonts w:cstheme="minorHAnsi"/>
          <w:color w:val="2F2F2F"/>
        </w:rPr>
        <w:t xml:space="preserve">CareFirst </w:t>
      </w:r>
      <w:r w:rsidR="0068034B" w:rsidRPr="00755626">
        <w:rPr>
          <w:rFonts w:cstheme="minorHAnsi"/>
          <w:color w:val="2F2F2F"/>
        </w:rPr>
        <w:t xml:space="preserve">indicates that it </w:t>
      </w:r>
      <w:r w:rsidR="00611439" w:rsidRPr="00755626">
        <w:rPr>
          <w:rFonts w:cstheme="minorHAnsi"/>
          <w:color w:val="2F2F2F"/>
        </w:rPr>
        <w:t>is</w:t>
      </w:r>
      <w:r w:rsidR="0068034B" w:rsidRPr="00755626">
        <w:rPr>
          <w:rFonts w:cstheme="minorHAnsi"/>
          <w:color w:val="2F2F2F"/>
        </w:rPr>
        <w:t>,</w:t>
      </w:r>
      <w:r w:rsidR="00611439" w:rsidRPr="00755626">
        <w:rPr>
          <w:rFonts w:cstheme="minorHAnsi"/>
          <w:color w:val="2F2F2F"/>
        </w:rPr>
        <w:t xml:space="preserve"> therefore</w:t>
      </w:r>
      <w:r w:rsidR="0068034B" w:rsidRPr="00755626">
        <w:rPr>
          <w:rFonts w:cstheme="minorHAnsi"/>
          <w:color w:val="2F2F2F"/>
        </w:rPr>
        <w:t>,</w:t>
      </w:r>
      <w:r w:rsidR="00611439" w:rsidRPr="00755626">
        <w:rPr>
          <w:rFonts w:cstheme="minorHAnsi"/>
          <w:color w:val="2F2F2F"/>
        </w:rPr>
        <w:t xml:space="preserve"> well positioned to direct funding to address community health needs</w:t>
      </w:r>
      <w:r w:rsidR="007C3884" w:rsidRPr="00755626">
        <w:rPr>
          <w:rFonts w:cstheme="minorHAnsi"/>
          <w:color w:val="2F2F2F"/>
        </w:rPr>
        <w:t xml:space="preserve"> by supporting </w:t>
      </w:r>
      <w:r w:rsidR="007C3884" w:rsidRPr="00755626">
        <w:rPr>
          <w:rFonts w:cstheme="minorHAnsi"/>
          <w:color w:val="2F2F2F"/>
        </w:rPr>
        <w:lastRenderedPageBreak/>
        <w:t>“</w:t>
      </w:r>
      <w:r w:rsidR="007C3884" w:rsidRPr="00755626">
        <w:rPr>
          <w:rFonts w:eastAsia="Times New Roman" w:cstheme="minorHAnsi"/>
          <w:color w:val="2F2F2F"/>
        </w:rPr>
        <w:t>nonprofit 501(c)(3) organizations or public health entities working to provide relief to communities’ health, social, and economic needs that continue to aris</w:t>
      </w:r>
      <w:r w:rsidR="00931E5D" w:rsidRPr="00755626">
        <w:rPr>
          <w:rFonts w:eastAsia="Times New Roman" w:cstheme="minorHAnsi"/>
          <w:color w:val="2F2F2F"/>
        </w:rPr>
        <w:t>e</w:t>
      </w:r>
      <w:r w:rsidR="008B10FF" w:rsidRPr="00755626">
        <w:rPr>
          <w:rFonts w:eastAsia="Times New Roman" w:cstheme="minorHAnsi"/>
          <w:color w:val="2F2F2F"/>
        </w:rPr>
        <w:t xml:space="preserve"> during the </w:t>
      </w:r>
      <w:proofErr w:type="spellStart"/>
      <w:r w:rsidR="008B10FF" w:rsidRPr="00755626">
        <w:rPr>
          <w:rFonts w:eastAsia="Times New Roman" w:cstheme="minorHAnsi"/>
          <w:color w:val="2F2F2F"/>
        </w:rPr>
        <w:t>COVID</w:t>
      </w:r>
      <w:proofErr w:type="spellEnd"/>
      <w:r w:rsidR="008B10FF" w:rsidRPr="00755626">
        <w:rPr>
          <w:rFonts w:eastAsia="Times New Roman" w:cstheme="minorHAnsi"/>
          <w:color w:val="2F2F2F"/>
        </w:rPr>
        <w:t>-19 pandemic.”</w:t>
      </w:r>
      <w:r w:rsidR="0088675C" w:rsidRPr="00390E78">
        <w:rPr>
          <w:rStyle w:val="FootnoteReference"/>
          <w:rFonts w:eastAsia="Times New Roman" w:cstheme="minorHAnsi"/>
          <w:color w:val="2F2F2F"/>
        </w:rPr>
        <w:footnoteReference w:id="3"/>
      </w:r>
      <w:r w:rsidR="008B10FF" w:rsidRPr="00755626">
        <w:rPr>
          <w:rFonts w:eastAsia="Times New Roman" w:cstheme="minorHAnsi"/>
          <w:color w:val="2F2F2F"/>
        </w:rPr>
        <w:t xml:space="preserve"> </w:t>
      </w:r>
      <w:r w:rsidR="008B10FF" w:rsidRPr="00755626">
        <w:rPr>
          <w:rFonts w:eastAsia="Times New Roman" w:cstheme="minorHAnsi"/>
          <w:i/>
          <w:color w:val="2F2F2F"/>
        </w:rPr>
        <w:t>Id.</w:t>
      </w:r>
      <w:r w:rsidR="007350CB">
        <w:rPr>
          <w:rFonts w:eastAsia="Times New Roman" w:cstheme="minorHAnsi"/>
          <w:color w:val="2F2F2F"/>
        </w:rPr>
        <w:t xml:space="preserve"> CareFirst is indeed well positioned to direct public </w:t>
      </w:r>
      <w:r w:rsidR="00F66BC6">
        <w:rPr>
          <w:rFonts w:eastAsia="Times New Roman" w:cstheme="minorHAnsi"/>
          <w:color w:val="2F2F2F"/>
        </w:rPr>
        <w:t xml:space="preserve">funds toward </w:t>
      </w:r>
      <w:r w:rsidR="007350CB">
        <w:rPr>
          <w:rFonts w:eastAsia="Times New Roman" w:cstheme="minorHAnsi"/>
          <w:color w:val="2F2F2F"/>
        </w:rPr>
        <w:t xml:space="preserve">health needs in the District – </w:t>
      </w:r>
      <w:r w:rsidR="00B33084">
        <w:rPr>
          <w:rFonts w:eastAsia="Times New Roman" w:cstheme="minorHAnsi"/>
          <w:color w:val="2F2F2F"/>
        </w:rPr>
        <w:t xml:space="preserve">as the company’s own actuarial expert has indicated, </w:t>
      </w:r>
      <w:r w:rsidR="007350CB">
        <w:rPr>
          <w:rFonts w:eastAsia="Times New Roman" w:cstheme="minorHAnsi"/>
          <w:color w:val="2F2F2F"/>
        </w:rPr>
        <w:t>as a result of the pandemic</w:t>
      </w:r>
      <w:r w:rsidR="000A4913">
        <w:rPr>
          <w:rFonts w:eastAsia="Times New Roman" w:cstheme="minorHAnsi"/>
          <w:color w:val="2F2F2F"/>
        </w:rPr>
        <w:t>,</w:t>
      </w:r>
      <w:r w:rsidR="007350CB">
        <w:rPr>
          <w:rFonts w:eastAsia="Times New Roman" w:cstheme="minorHAnsi"/>
          <w:color w:val="2F2F2F"/>
        </w:rPr>
        <w:t xml:space="preserve"> </w:t>
      </w:r>
      <w:r w:rsidR="0088675C">
        <w:rPr>
          <w:rFonts w:eastAsia="Times New Roman" w:cstheme="minorHAnsi"/>
          <w:color w:val="2F2F2F"/>
        </w:rPr>
        <w:t>CareFirst’s</w:t>
      </w:r>
      <w:r w:rsidR="007350CB">
        <w:rPr>
          <w:rFonts w:eastAsia="Times New Roman" w:cstheme="minorHAnsi"/>
          <w:color w:val="2F2F2F"/>
        </w:rPr>
        <w:t xml:space="preserve"> excess</w:t>
      </w:r>
      <w:r w:rsidR="0088675C">
        <w:rPr>
          <w:rFonts w:eastAsia="Times New Roman" w:cstheme="minorHAnsi"/>
          <w:color w:val="2F2F2F"/>
        </w:rPr>
        <w:t xml:space="preserve"> surplus has likely increase</w:t>
      </w:r>
      <w:r w:rsidR="00C633B4">
        <w:rPr>
          <w:rFonts w:eastAsia="Times New Roman" w:cstheme="minorHAnsi"/>
          <w:color w:val="2F2F2F"/>
        </w:rPr>
        <w:t>d</w:t>
      </w:r>
      <w:r w:rsidR="0088675C">
        <w:rPr>
          <w:rFonts w:eastAsia="Times New Roman" w:cstheme="minorHAnsi"/>
          <w:color w:val="2F2F2F"/>
        </w:rPr>
        <w:t>.</w:t>
      </w:r>
      <w:r w:rsidR="0088675C">
        <w:rPr>
          <w:rStyle w:val="FootnoteReference"/>
          <w:rFonts w:eastAsia="Times New Roman" w:cstheme="minorHAnsi"/>
          <w:color w:val="2F2F2F"/>
        </w:rPr>
        <w:footnoteReference w:id="4"/>
      </w:r>
    </w:p>
    <w:p w:rsidR="008C1936" w:rsidRPr="00755626" w:rsidRDefault="00D30830" w:rsidP="00843A59">
      <w:pPr>
        <w:spacing w:after="240"/>
        <w:ind w:firstLine="720"/>
        <w:jc w:val="both"/>
        <w:rPr>
          <w:rFonts w:ascii="Times New Roman" w:hAnsi="Times New Roman" w:cs="Times New Roman"/>
        </w:rPr>
      </w:pPr>
      <w:r w:rsidRPr="00755626">
        <w:rPr>
          <w:rFonts w:ascii="Times New Roman" w:hAnsi="Times New Roman" w:cs="Times New Roman"/>
        </w:rPr>
        <w:t xml:space="preserve">In these </w:t>
      </w:r>
      <w:r w:rsidRPr="008E7F91">
        <w:rPr>
          <w:rFonts w:cstheme="minorHAnsi"/>
          <w:color w:val="2F2F2F"/>
        </w:rPr>
        <w:t>pressing</w:t>
      </w:r>
      <w:r w:rsidRPr="00755626">
        <w:rPr>
          <w:rFonts w:ascii="Times New Roman" w:hAnsi="Times New Roman" w:cs="Times New Roman"/>
        </w:rPr>
        <w:t xml:space="preserve"> </w:t>
      </w:r>
      <w:r w:rsidR="00835D14" w:rsidRPr="00755626">
        <w:rPr>
          <w:rFonts w:ascii="Times New Roman" w:hAnsi="Times New Roman" w:cs="Times New Roman"/>
        </w:rPr>
        <w:t>circumstances</w:t>
      </w:r>
      <w:r w:rsidRPr="00755626">
        <w:rPr>
          <w:rFonts w:ascii="Times New Roman" w:hAnsi="Times New Roman" w:cs="Times New Roman"/>
        </w:rPr>
        <w:t xml:space="preserve">, </w:t>
      </w:r>
      <w:r w:rsidR="00D4703A" w:rsidRPr="00755626">
        <w:rPr>
          <w:rFonts w:ascii="Times New Roman" w:hAnsi="Times New Roman" w:cs="Times New Roman"/>
        </w:rPr>
        <w:t>Appleseed</w:t>
      </w:r>
      <w:r w:rsidR="00BD3DB9" w:rsidRPr="00755626">
        <w:rPr>
          <w:rFonts w:ascii="Times New Roman" w:hAnsi="Times New Roman" w:cs="Times New Roman"/>
        </w:rPr>
        <w:t xml:space="preserve"> </w:t>
      </w:r>
      <w:r w:rsidRPr="00755626">
        <w:rPr>
          <w:rFonts w:ascii="Times New Roman" w:hAnsi="Times New Roman" w:cs="Times New Roman"/>
        </w:rPr>
        <w:t xml:space="preserve">respectfully </w:t>
      </w:r>
      <w:r w:rsidR="00BD3DB9" w:rsidRPr="00755626">
        <w:rPr>
          <w:rFonts w:ascii="Times New Roman" w:hAnsi="Times New Roman" w:cs="Times New Roman"/>
        </w:rPr>
        <w:t>urge</w:t>
      </w:r>
      <w:r w:rsidR="00D4703A" w:rsidRPr="00755626">
        <w:rPr>
          <w:rFonts w:ascii="Times New Roman" w:hAnsi="Times New Roman" w:cs="Times New Roman"/>
        </w:rPr>
        <w:t>s</w:t>
      </w:r>
      <w:r w:rsidR="00BD3DB9" w:rsidRPr="00755626">
        <w:rPr>
          <w:rFonts w:ascii="Times New Roman" w:hAnsi="Times New Roman" w:cs="Times New Roman"/>
        </w:rPr>
        <w:t xml:space="preserve"> </w:t>
      </w:r>
      <w:r w:rsidR="001E3FBE" w:rsidRPr="00755626">
        <w:rPr>
          <w:rFonts w:ascii="Times New Roman" w:hAnsi="Times New Roman" w:cs="Times New Roman"/>
        </w:rPr>
        <w:t>the Commissioner</w:t>
      </w:r>
      <w:r w:rsidRPr="00755626">
        <w:rPr>
          <w:rFonts w:ascii="Times New Roman" w:hAnsi="Times New Roman" w:cs="Times New Roman"/>
        </w:rPr>
        <w:t xml:space="preserve"> to </w:t>
      </w:r>
      <w:r w:rsidR="0068034B" w:rsidRPr="00755626">
        <w:rPr>
          <w:rFonts w:ascii="Times New Roman" w:hAnsi="Times New Roman" w:cs="Times New Roman"/>
        </w:rPr>
        <w:t xml:space="preserve">proceed on two </w:t>
      </w:r>
      <w:r w:rsidR="00914621" w:rsidRPr="00755626">
        <w:rPr>
          <w:rFonts w:ascii="Times New Roman" w:hAnsi="Times New Roman" w:cs="Times New Roman"/>
        </w:rPr>
        <w:t xml:space="preserve">simultaneous </w:t>
      </w:r>
      <w:r w:rsidR="0068034B" w:rsidRPr="00755626">
        <w:rPr>
          <w:rFonts w:ascii="Times New Roman" w:hAnsi="Times New Roman" w:cs="Times New Roman"/>
        </w:rPr>
        <w:t>paths in order to</w:t>
      </w:r>
      <w:r w:rsidR="00B33084">
        <w:rPr>
          <w:rFonts w:ascii="Times New Roman" w:hAnsi="Times New Roman" w:cs="Times New Roman"/>
        </w:rPr>
        <w:t xml:space="preserve"> (1)</w:t>
      </w:r>
      <w:r w:rsidR="0068034B" w:rsidRPr="00755626">
        <w:rPr>
          <w:rFonts w:ascii="Times New Roman" w:hAnsi="Times New Roman" w:cs="Times New Roman"/>
        </w:rPr>
        <w:t xml:space="preserve"> ensure the immediate </w:t>
      </w:r>
      <w:r w:rsidR="00E27EAD">
        <w:rPr>
          <w:rFonts w:ascii="Times New Roman" w:hAnsi="Times New Roman" w:cs="Times New Roman"/>
        </w:rPr>
        <w:t>expenditure</w:t>
      </w:r>
      <w:r w:rsidR="00E27EAD" w:rsidRPr="00755626">
        <w:rPr>
          <w:rFonts w:ascii="Times New Roman" w:hAnsi="Times New Roman" w:cs="Times New Roman"/>
        </w:rPr>
        <w:t xml:space="preserve"> </w:t>
      </w:r>
      <w:r w:rsidR="0068034B" w:rsidRPr="00755626">
        <w:rPr>
          <w:rFonts w:ascii="Times New Roman" w:hAnsi="Times New Roman" w:cs="Times New Roman"/>
        </w:rPr>
        <w:t xml:space="preserve">of the funds definitively </w:t>
      </w:r>
      <w:r w:rsidR="00B33084">
        <w:rPr>
          <w:rFonts w:ascii="Times New Roman" w:hAnsi="Times New Roman" w:cs="Times New Roman"/>
        </w:rPr>
        <w:t>upheld</w:t>
      </w:r>
      <w:r w:rsidR="0068034B" w:rsidRPr="00755626">
        <w:rPr>
          <w:rFonts w:ascii="Times New Roman" w:hAnsi="Times New Roman" w:cs="Times New Roman"/>
        </w:rPr>
        <w:t xml:space="preserve"> by the </w:t>
      </w:r>
      <w:r w:rsidR="00B048E2">
        <w:rPr>
          <w:rFonts w:ascii="Times New Roman" w:hAnsi="Times New Roman" w:cs="Times New Roman"/>
        </w:rPr>
        <w:t>C</w:t>
      </w:r>
      <w:r w:rsidR="0068034B" w:rsidRPr="00755626">
        <w:rPr>
          <w:rFonts w:ascii="Times New Roman" w:hAnsi="Times New Roman" w:cs="Times New Roman"/>
        </w:rPr>
        <w:t xml:space="preserve">ourt of </w:t>
      </w:r>
      <w:r w:rsidR="00B048E2">
        <w:rPr>
          <w:rFonts w:ascii="Times New Roman" w:hAnsi="Times New Roman" w:cs="Times New Roman"/>
        </w:rPr>
        <w:t>A</w:t>
      </w:r>
      <w:r w:rsidR="0068034B" w:rsidRPr="00755626">
        <w:rPr>
          <w:rFonts w:ascii="Times New Roman" w:hAnsi="Times New Roman" w:cs="Times New Roman"/>
        </w:rPr>
        <w:t>ppeals</w:t>
      </w:r>
      <w:r w:rsidR="00E27EAD">
        <w:rPr>
          <w:rFonts w:ascii="Times New Roman" w:hAnsi="Times New Roman" w:cs="Times New Roman"/>
        </w:rPr>
        <w:t xml:space="preserve"> toward addressing needs created by the pandem</w:t>
      </w:r>
      <w:r w:rsidR="002B3C14">
        <w:rPr>
          <w:rFonts w:ascii="Times New Roman" w:hAnsi="Times New Roman" w:cs="Times New Roman"/>
        </w:rPr>
        <w:t xml:space="preserve">ic, which would now </w:t>
      </w:r>
      <w:r w:rsidR="00323119">
        <w:rPr>
          <w:rFonts w:ascii="Times New Roman" w:hAnsi="Times New Roman" w:cs="Times New Roman"/>
        </w:rPr>
        <w:t>best serve</w:t>
      </w:r>
      <w:r w:rsidR="00E27EAD">
        <w:rPr>
          <w:rFonts w:ascii="Times New Roman" w:hAnsi="Times New Roman" w:cs="Times New Roman"/>
        </w:rPr>
        <w:t xml:space="preserve"> </w:t>
      </w:r>
      <w:proofErr w:type="spellStart"/>
      <w:r w:rsidR="00E27EAD">
        <w:rPr>
          <w:rFonts w:ascii="Times New Roman" w:hAnsi="Times New Roman" w:cs="Times New Roman"/>
        </w:rPr>
        <w:t>MIEAA’s</w:t>
      </w:r>
      <w:proofErr w:type="spellEnd"/>
      <w:r w:rsidR="00E27EAD">
        <w:rPr>
          <w:rFonts w:ascii="Times New Roman" w:hAnsi="Times New Roman" w:cs="Times New Roman"/>
        </w:rPr>
        <w:t xml:space="preserve"> statutory purpose</w:t>
      </w:r>
      <w:r w:rsidR="00914621" w:rsidRPr="00755626">
        <w:rPr>
          <w:rFonts w:ascii="Times New Roman" w:hAnsi="Times New Roman" w:cs="Times New Roman"/>
        </w:rPr>
        <w:t xml:space="preserve">, while </w:t>
      </w:r>
      <w:r w:rsidR="00B33084">
        <w:rPr>
          <w:rFonts w:ascii="Times New Roman" w:hAnsi="Times New Roman" w:cs="Times New Roman"/>
        </w:rPr>
        <w:t>(2</w:t>
      </w:r>
      <w:r w:rsidR="006F6225">
        <w:rPr>
          <w:rFonts w:ascii="Times New Roman" w:hAnsi="Times New Roman" w:cs="Times New Roman"/>
        </w:rPr>
        <w:t>)</w:t>
      </w:r>
      <w:r w:rsidR="006F6225" w:rsidRPr="00755626">
        <w:rPr>
          <w:rFonts w:ascii="Times New Roman" w:hAnsi="Times New Roman" w:cs="Times New Roman"/>
        </w:rPr>
        <w:t xml:space="preserve"> allowing</w:t>
      </w:r>
      <w:r w:rsidR="00914621" w:rsidRPr="00755626">
        <w:rPr>
          <w:rFonts w:ascii="Times New Roman" w:hAnsi="Times New Roman" w:cs="Times New Roman"/>
        </w:rPr>
        <w:t xml:space="preserve"> for a prompt resolution of the remaining issues related to </w:t>
      </w:r>
      <w:r w:rsidR="00E27EAD">
        <w:rPr>
          <w:rFonts w:ascii="Times New Roman" w:hAnsi="Times New Roman" w:cs="Times New Roman"/>
        </w:rPr>
        <w:t>additional</w:t>
      </w:r>
      <w:r w:rsidR="00914621" w:rsidRPr="00755626">
        <w:rPr>
          <w:rFonts w:ascii="Times New Roman" w:hAnsi="Times New Roman" w:cs="Times New Roman"/>
        </w:rPr>
        <w:t xml:space="preserve"> funds.</w:t>
      </w:r>
      <w:r w:rsidR="007D4667">
        <w:rPr>
          <w:rFonts w:ascii="Times New Roman" w:hAnsi="Times New Roman" w:cs="Times New Roman"/>
        </w:rPr>
        <w:t xml:space="preserve"> </w:t>
      </w:r>
      <w:r w:rsidR="00914621" w:rsidRPr="00755626">
        <w:rPr>
          <w:rFonts w:ascii="Times New Roman" w:hAnsi="Times New Roman" w:cs="Times New Roman"/>
        </w:rPr>
        <w:t xml:space="preserve">As set forth in the accompanying motion, </w:t>
      </w:r>
      <w:r w:rsidR="00E27EAD">
        <w:rPr>
          <w:rFonts w:ascii="Times New Roman" w:hAnsi="Times New Roman" w:cs="Times New Roman"/>
        </w:rPr>
        <w:t>Appleseed</w:t>
      </w:r>
      <w:r w:rsidR="00E27EAD" w:rsidRPr="00755626">
        <w:rPr>
          <w:rFonts w:ascii="Times New Roman" w:hAnsi="Times New Roman" w:cs="Times New Roman"/>
        </w:rPr>
        <w:t xml:space="preserve"> </w:t>
      </w:r>
      <w:r w:rsidR="00914621" w:rsidRPr="00755626">
        <w:rPr>
          <w:rFonts w:ascii="Times New Roman" w:hAnsi="Times New Roman" w:cs="Times New Roman"/>
        </w:rPr>
        <w:t>specifically ask</w:t>
      </w:r>
      <w:r w:rsidR="00E27EAD">
        <w:rPr>
          <w:rFonts w:ascii="Times New Roman" w:hAnsi="Times New Roman" w:cs="Times New Roman"/>
        </w:rPr>
        <w:t>s</w:t>
      </w:r>
      <w:r w:rsidR="00914621" w:rsidRPr="00755626">
        <w:rPr>
          <w:rFonts w:ascii="Times New Roman" w:hAnsi="Times New Roman" w:cs="Times New Roman"/>
        </w:rPr>
        <w:t xml:space="preserve"> that the Commissioner</w:t>
      </w:r>
      <w:r w:rsidRPr="00755626">
        <w:rPr>
          <w:rFonts w:ascii="Times New Roman" w:hAnsi="Times New Roman" w:cs="Times New Roman"/>
        </w:rPr>
        <w:t>: (1</w:t>
      </w:r>
      <w:r w:rsidR="00E27EAD" w:rsidRPr="00755626">
        <w:rPr>
          <w:rFonts w:ascii="Times New Roman" w:hAnsi="Times New Roman" w:cs="Times New Roman"/>
        </w:rPr>
        <w:t>)</w:t>
      </w:r>
      <w:r w:rsidR="00E27EAD">
        <w:rPr>
          <w:rFonts w:ascii="Times New Roman" w:hAnsi="Times New Roman" w:cs="Times New Roman"/>
        </w:rPr>
        <w:t> </w:t>
      </w:r>
      <w:r w:rsidR="00835D14" w:rsidRPr="00755626">
        <w:rPr>
          <w:rFonts w:ascii="Times New Roman" w:hAnsi="Times New Roman" w:cs="Times New Roman"/>
        </w:rPr>
        <w:t>immediately</w:t>
      </w:r>
      <w:r w:rsidRPr="00755626">
        <w:rPr>
          <w:rFonts w:ascii="Times New Roman" w:hAnsi="Times New Roman" w:cs="Times New Roman"/>
        </w:rPr>
        <w:t xml:space="preserve"> order </w:t>
      </w:r>
      <w:proofErr w:type="spellStart"/>
      <w:r w:rsidRPr="00755626">
        <w:rPr>
          <w:rFonts w:ascii="Times New Roman" w:hAnsi="Times New Roman" w:cs="Times New Roman"/>
        </w:rPr>
        <w:t>GHMSI</w:t>
      </w:r>
      <w:proofErr w:type="spellEnd"/>
      <w:r w:rsidRPr="00755626">
        <w:rPr>
          <w:rFonts w:ascii="Times New Roman" w:hAnsi="Times New Roman" w:cs="Times New Roman"/>
        </w:rPr>
        <w:t xml:space="preserve"> to spend down the $51 million </w:t>
      </w:r>
      <w:r w:rsidR="009404E6" w:rsidRPr="00755626">
        <w:rPr>
          <w:rFonts w:ascii="Times New Roman" w:hAnsi="Times New Roman" w:cs="Times New Roman"/>
        </w:rPr>
        <w:t xml:space="preserve">of </w:t>
      </w:r>
      <w:r w:rsidRPr="00755626">
        <w:rPr>
          <w:rFonts w:ascii="Times New Roman" w:hAnsi="Times New Roman" w:cs="Times New Roman"/>
        </w:rPr>
        <w:t>excess su</w:t>
      </w:r>
      <w:r w:rsidR="00835D14" w:rsidRPr="00755626">
        <w:rPr>
          <w:rFonts w:ascii="Times New Roman" w:hAnsi="Times New Roman" w:cs="Times New Roman"/>
        </w:rPr>
        <w:t>r</w:t>
      </w:r>
      <w:r w:rsidRPr="00755626">
        <w:rPr>
          <w:rFonts w:ascii="Times New Roman" w:hAnsi="Times New Roman" w:cs="Times New Roman"/>
        </w:rPr>
        <w:t xml:space="preserve">plus </w:t>
      </w:r>
      <w:r w:rsidR="00B048E2">
        <w:rPr>
          <w:rFonts w:ascii="Times New Roman" w:hAnsi="Times New Roman" w:cs="Times New Roman"/>
        </w:rPr>
        <w:t xml:space="preserve">attributable to the District </w:t>
      </w:r>
      <w:r w:rsidRPr="00755626">
        <w:rPr>
          <w:rFonts w:ascii="Times New Roman" w:hAnsi="Times New Roman" w:cs="Times New Roman"/>
        </w:rPr>
        <w:t xml:space="preserve">as determined by the </w:t>
      </w:r>
      <w:proofErr w:type="spellStart"/>
      <w:r w:rsidRPr="00755626">
        <w:rPr>
          <w:rFonts w:ascii="Times New Roman" w:hAnsi="Times New Roman" w:cs="Times New Roman"/>
        </w:rPr>
        <w:t>DISB</w:t>
      </w:r>
      <w:proofErr w:type="spellEnd"/>
      <w:r w:rsidRPr="00755626">
        <w:rPr>
          <w:rFonts w:ascii="Times New Roman" w:hAnsi="Times New Roman" w:cs="Times New Roman"/>
        </w:rPr>
        <w:t xml:space="preserve"> in December 2014 and </w:t>
      </w:r>
      <w:r w:rsidR="00835D14" w:rsidRPr="00755626">
        <w:rPr>
          <w:rFonts w:ascii="Times New Roman" w:hAnsi="Times New Roman" w:cs="Times New Roman"/>
        </w:rPr>
        <w:t>affirmed</w:t>
      </w:r>
      <w:r w:rsidRPr="00755626">
        <w:rPr>
          <w:rFonts w:ascii="Times New Roman" w:hAnsi="Times New Roman" w:cs="Times New Roman"/>
        </w:rPr>
        <w:t xml:space="preserve"> by the D.C. </w:t>
      </w:r>
      <w:r w:rsidR="00835D14" w:rsidRPr="00755626">
        <w:rPr>
          <w:rFonts w:ascii="Times New Roman" w:hAnsi="Times New Roman" w:cs="Times New Roman"/>
        </w:rPr>
        <w:t>Court</w:t>
      </w:r>
      <w:r w:rsidRPr="00755626">
        <w:rPr>
          <w:rFonts w:ascii="Times New Roman" w:hAnsi="Times New Roman" w:cs="Times New Roman"/>
        </w:rPr>
        <w:t xml:space="preserve"> of </w:t>
      </w:r>
      <w:r w:rsidR="00835D14" w:rsidRPr="00755626">
        <w:rPr>
          <w:rFonts w:ascii="Times New Roman" w:hAnsi="Times New Roman" w:cs="Times New Roman"/>
        </w:rPr>
        <w:t>Appeals</w:t>
      </w:r>
      <w:r w:rsidRPr="00755626">
        <w:rPr>
          <w:rFonts w:ascii="Times New Roman" w:hAnsi="Times New Roman" w:cs="Times New Roman"/>
        </w:rPr>
        <w:t xml:space="preserve"> in </w:t>
      </w:r>
      <w:r w:rsidR="00835D14" w:rsidRPr="00755626">
        <w:rPr>
          <w:rFonts w:ascii="Times New Roman" w:hAnsi="Times New Roman" w:cs="Times New Roman"/>
        </w:rPr>
        <w:t>August</w:t>
      </w:r>
      <w:r w:rsidRPr="00755626">
        <w:rPr>
          <w:rFonts w:ascii="Times New Roman" w:hAnsi="Times New Roman" w:cs="Times New Roman"/>
        </w:rPr>
        <w:t xml:space="preserve"> 2019; and (2</w:t>
      </w:r>
      <w:r w:rsidR="00E27EAD" w:rsidRPr="00755626">
        <w:rPr>
          <w:rFonts w:ascii="Times New Roman" w:hAnsi="Times New Roman" w:cs="Times New Roman"/>
        </w:rPr>
        <w:t>)</w:t>
      </w:r>
      <w:r w:rsidR="00E27EAD">
        <w:rPr>
          <w:rFonts w:ascii="Times New Roman" w:hAnsi="Times New Roman" w:cs="Times New Roman"/>
        </w:rPr>
        <w:t> </w:t>
      </w:r>
      <w:r w:rsidRPr="00755626">
        <w:rPr>
          <w:rFonts w:ascii="Times New Roman" w:hAnsi="Times New Roman" w:cs="Times New Roman"/>
        </w:rPr>
        <w:t xml:space="preserve">promptly address the five </w:t>
      </w:r>
      <w:r w:rsidR="00835D14" w:rsidRPr="00755626">
        <w:rPr>
          <w:rFonts w:ascii="Times New Roman" w:hAnsi="Times New Roman" w:cs="Times New Roman"/>
        </w:rPr>
        <w:t xml:space="preserve">issues the </w:t>
      </w:r>
      <w:r w:rsidR="009404E6" w:rsidRPr="00755626">
        <w:rPr>
          <w:rFonts w:ascii="Times New Roman" w:hAnsi="Times New Roman" w:cs="Times New Roman"/>
        </w:rPr>
        <w:t>Court remanded</w:t>
      </w:r>
      <w:r w:rsidRPr="00755626">
        <w:rPr>
          <w:rFonts w:ascii="Times New Roman" w:hAnsi="Times New Roman" w:cs="Times New Roman"/>
        </w:rPr>
        <w:t xml:space="preserve"> to</w:t>
      </w:r>
      <w:r w:rsidR="00835D14" w:rsidRPr="00755626">
        <w:rPr>
          <w:rFonts w:ascii="Times New Roman" w:hAnsi="Times New Roman" w:cs="Times New Roman"/>
        </w:rPr>
        <w:t xml:space="preserve"> the</w:t>
      </w:r>
      <w:r w:rsidRPr="00755626">
        <w:rPr>
          <w:rFonts w:ascii="Times New Roman" w:hAnsi="Times New Roman" w:cs="Times New Roman"/>
        </w:rPr>
        <w:t xml:space="preserve"> </w:t>
      </w:r>
      <w:proofErr w:type="spellStart"/>
      <w:r w:rsidRPr="00755626">
        <w:rPr>
          <w:rFonts w:ascii="Times New Roman" w:hAnsi="Times New Roman" w:cs="Times New Roman"/>
        </w:rPr>
        <w:t>DISB</w:t>
      </w:r>
      <w:proofErr w:type="spellEnd"/>
      <w:r w:rsidRPr="00755626">
        <w:rPr>
          <w:rFonts w:ascii="Times New Roman" w:hAnsi="Times New Roman" w:cs="Times New Roman"/>
        </w:rPr>
        <w:t xml:space="preserve"> in its August 2019 </w:t>
      </w:r>
      <w:r w:rsidR="00835D14" w:rsidRPr="00755626">
        <w:rPr>
          <w:rFonts w:ascii="Times New Roman" w:hAnsi="Times New Roman" w:cs="Times New Roman"/>
        </w:rPr>
        <w:t>decision</w:t>
      </w:r>
      <w:r w:rsidR="00CA739B" w:rsidRPr="00755626">
        <w:rPr>
          <w:rFonts w:ascii="Times New Roman" w:hAnsi="Times New Roman" w:cs="Times New Roman"/>
        </w:rPr>
        <w:t>, in coordination with Maryland and Virginia to the extent required by the Court of Appeals</w:t>
      </w:r>
      <w:r w:rsidRPr="00755626">
        <w:rPr>
          <w:rFonts w:ascii="Times New Roman" w:hAnsi="Times New Roman" w:cs="Times New Roman"/>
        </w:rPr>
        <w:t>.</w:t>
      </w:r>
      <w:r w:rsidR="00835D14" w:rsidRPr="00755626">
        <w:rPr>
          <w:rFonts w:ascii="Times New Roman" w:hAnsi="Times New Roman" w:cs="Times New Roman"/>
        </w:rPr>
        <w:t xml:space="preserve"> </w:t>
      </w:r>
    </w:p>
    <w:p w:rsidR="001327ED" w:rsidRPr="00755626" w:rsidRDefault="001327ED" w:rsidP="008C1936">
      <w:pPr>
        <w:rPr>
          <w:rFonts w:ascii="Times New Roman" w:hAnsi="Times New Roman" w:cs="Times New Roman"/>
        </w:rPr>
      </w:pPr>
    </w:p>
    <w:p w:rsidR="00293732" w:rsidRPr="004B2F56" w:rsidRDefault="00CF23E9" w:rsidP="00B14007">
      <w:pPr>
        <w:pStyle w:val="Heading1"/>
        <w:keepNext/>
        <w:numPr>
          <w:ilvl w:val="0"/>
          <w:numId w:val="0"/>
        </w:numPr>
        <w:ind w:left="720" w:hanging="720"/>
        <w:jc w:val="center"/>
        <w:rPr>
          <w:b/>
          <w:szCs w:val="24"/>
        </w:rPr>
      </w:pPr>
      <w:bookmarkStart w:id="2" w:name="_Toc40193608"/>
      <w:r>
        <w:rPr>
          <w:b/>
          <w:szCs w:val="24"/>
        </w:rPr>
        <w:t>BACKGROUND</w:t>
      </w:r>
      <w:bookmarkEnd w:id="2"/>
    </w:p>
    <w:p w:rsidR="00293732" w:rsidRPr="00755626" w:rsidRDefault="007E73D8" w:rsidP="00843A59">
      <w:pPr>
        <w:ind w:firstLine="720"/>
        <w:jc w:val="both"/>
        <w:rPr>
          <w:rFonts w:ascii="Times New Roman" w:hAnsi="Times New Roman" w:cs="Times New Roman"/>
        </w:rPr>
      </w:pPr>
      <w:r w:rsidRPr="00755626">
        <w:rPr>
          <w:rFonts w:ascii="Times New Roman" w:hAnsi="Times New Roman" w:cs="Times New Roman"/>
        </w:rPr>
        <w:t>T</w:t>
      </w:r>
      <w:r w:rsidR="00D4703A" w:rsidRPr="00755626">
        <w:rPr>
          <w:rFonts w:ascii="Times New Roman" w:hAnsi="Times New Roman" w:cs="Times New Roman"/>
        </w:rPr>
        <w:t xml:space="preserve">he </w:t>
      </w:r>
      <w:r w:rsidR="00293732" w:rsidRPr="00755626">
        <w:rPr>
          <w:rFonts w:ascii="Times New Roman" w:hAnsi="Times New Roman" w:cs="Times New Roman"/>
        </w:rPr>
        <w:t xml:space="preserve">long history of this case has </w:t>
      </w:r>
      <w:r w:rsidR="00834CFF" w:rsidRPr="00755626">
        <w:rPr>
          <w:rFonts w:ascii="Times New Roman" w:hAnsi="Times New Roman" w:cs="Times New Roman"/>
        </w:rPr>
        <w:t>been</w:t>
      </w:r>
      <w:r w:rsidR="00293732" w:rsidRPr="00755626">
        <w:rPr>
          <w:rFonts w:ascii="Times New Roman" w:hAnsi="Times New Roman" w:cs="Times New Roman"/>
        </w:rPr>
        <w:t xml:space="preserve"> </w:t>
      </w:r>
      <w:r w:rsidR="00D4703A" w:rsidRPr="00755626">
        <w:rPr>
          <w:rFonts w:ascii="Times New Roman" w:hAnsi="Times New Roman" w:cs="Times New Roman"/>
        </w:rPr>
        <w:t xml:space="preserve">set forth </w:t>
      </w:r>
      <w:r w:rsidR="00293732" w:rsidRPr="00755626">
        <w:rPr>
          <w:rFonts w:ascii="Times New Roman" w:hAnsi="Times New Roman" w:cs="Times New Roman"/>
        </w:rPr>
        <w:t xml:space="preserve">in opinions </w:t>
      </w:r>
      <w:r w:rsidR="00E74DDE" w:rsidRPr="00755626">
        <w:rPr>
          <w:rFonts w:ascii="Times New Roman" w:hAnsi="Times New Roman" w:cs="Times New Roman"/>
        </w:rPr>
        <w:t xml:space="preserve">by </w:t>
      </w:r>
      <w:r w:rsidR="00293732" w:rsidRPr="00755626">
        <w:rPr>
          <w:rFonts w:ascii="Times New Roman" w:hAnsi="Times New Roman" w:cs="Times New Roman"/>
        </w:rPr>
        <w:t xml:space="preserve">both the </w:t>
      </w:r>
      <w:r w:rsidR="00834CFF" w:rsidRPr="00755626">
        <w:rPr>
          <w:rFonts w:ascii="Times New Roman" w:hAnsi="Times New Roman" w:cs="Times New Roman"/>
        </w:rPr>
        <w:t>Commissioner</w:t>
      </w:r>
      <w:r w:rsidR="00293732" w:rsidRPr="00755626">
        <w:rPr>
          <w:rFonts w:ascii="Times New Roman" w:hAnsi="Times New Roman" w:cs="Times New Roman"/>
        </w:rPr>
        <w:t xml:space="preserve"> and the Court of </w:t>
      </w:r>
      <w:r w:rsidR="00834CFF" w:rsidRPr="00755626">
        <w:rPr>
          <w:rFonts w:ascii="Times New Roman" w:hAnsi="Times New Roman" w:cs="Times New Roman"/>
        </w:rPr>
        <w:t>Appeals</w:t>
      </w:r>
      <w:r w:rsidR="00D4703A" w:rsidRPr="00755626">
        <w:rPr>
          <w:rFonts w:ascii="Times New Roman" w:hAnsi="Times New Roman" w:cs="Times New Roman"/>
        </w:rPr>
        <w:t>,</w:t>
      </w:r>
      <w:r w:rsidR="00293732" w:rsidRPr="00755626">
        <w:rPr>
          <w:rFonts w:ascii="Times New Roman" w:hAnsi="Times New Roman" w:cs="Times New Roman"/>
        </w:rPr>
        <w:t xml:space="preserve"> </w:t>
      </w:r>
      <w:r w:rsidRPr="00755626">
        <w:rPr>
          <w:rFonts w:ascii="Times New Roman" w:hAnsi="Times New Roman" w:cs="Times New Roman"/>
        </w:rPr>
        <w:t xml:space="preserve">and </w:t>
      </w:r>
      <w:r w:rsidR="00D4703A" w:rsidRPr="00755626">
        <w:rPr>
          <w:rFonts w:ascii="Times New Roman" w:hAnsi="Times New Roman" w:cs="Times New Roman"/>
        </w:rPr>
        <w:t xml:space="preserve">Appleseed does not repeat </w:t>
      </w:r>
      <w:r w:rsidRPr="00755626">
        <w:rPr>
          <w:rFonts w:ascii="Times New Roman" w:hAnsi="Times New Roman" w:cs="Times New Roman"/>
        </w:rPr>
        <w:t xml:space="preserve">all of </w:t>
      </w:r>
      <w:r w:rsidR="0087164A" w:rsidRPr="00755626">
        <w:rPr>
          <w:rFonts w:ascii="Times New Roman" w:hAnsi="Times New Roman" w:cs="Times New Roman"/>
        </w:rPr>
        <w:t xml:space="preserve">that history </w:t>
      </w:r>
      <w:r w:rsidR="00293732" w:rsidRPr="00755626">
        <w:rPr>
          <w:rFonts w:ascii="Times New Roman" w:hAnsi="Times New Roman" w:cs="Times New Roman"/>
        </w:rPr>
        <w:t xml:space="preserve">here. </w:t>
      </w:r>
      <w:r w:rsidR="00834CFF" w:rsidRPr="00755626">
        <w:rPr>
          <w:rFonts w:ascii="Times New Roman" w:hAnsi="Times New Roman" w:cs="Times New Roman"/>
        </w:rPr>
        <w:t>Instead</w:t>
      </w:r>
      <w:r w:rsidR="00293732" w:rsidRPr="00755626">
        <w:rPr>
          <w:rFonts w:ascii="Times New Roman" w:hAnsi="Times New Roman" w:cs="Times New Roman"/>
        </w:rPr>
        <w:t xml:space="preserve">, this </w:t>
      </w:r>
      <w:r w:rsidR="00834CFF" w:rsidRPr="00755626">
        <w:rPr>
          <w:rFonts w:ascii="Times New Roman" w:hAnsi="Times New Roman" w:cs="Times New Roman"/>
        </w:rPr>
        <w:t>brief</w:t>
      </w:r>
      <w:r w:rsidR="00293732" w:rsidRPr="00755626">
        <w:rPr>
          <w:rFonts w:ascii="Times New Roman" w:hAnsi="Times New Roman" w:cs="Times New Roman"/>
        </w:rPr>
        <w:t xml:space="preserve"> </w:t>
      </w:r>
      <w:r w:rsidR="00834CFF" w:rsidRPr="00755626">
        <w:rPr>
          <w:rFonts w:ascii="Times New Roman" w:hAnsi="Times New Roman" w:cs="Times New Roman"/>
        </w:rPr>
        <w:t>focus</w:t>
      </w:r>
      <w:r w:rsidR="00D4703A" w:rsidRPr="00755626">
        <w:rPr>
          <w:rFonts w:ascii="Times New Roman" w:hAnsi="Times New Roman" w:cs="Times New Roman"/>
        </w:rPr>
        <w:t>es</w:t>
      </w:r>
      <w:r w:rsidR="00834CFF" w:rsidRPr="00755626">
        <w:rPr>
          <w:rFonts w:ascii="Times New Roman" w:hAnsi="Times New Roman" w:cs="Times New Roman"/>
        </w:rPr>
        <w:t xml:space="preserve"> </w:t>
      </w:r>
      <w:r w:rsidRPr="00755626">
        <w:rPr>
          <w:rFonts w:ascii="Times New Roman" w:hAnsi="Times New Roman" w:cs="Times New Roman"/>
        </w:rPr>
        <w:t>on</w:t>
      </w:r>
      <w:r w:rsidR="00211CF9" w:rsidRPr="00755626">
        <w:rPr>
          <w:rFonts w:ascii="Times New Roman" w:hAnsi="Times New Roman" w:cs="Times New Roman"/>
        </w:rPr>
        <w:t xml:space="preserve"> the</w:t>
      </w:r>
      <w:r w:rsidRPr="00755626">
        <w:rPr>
          <w:rFonts w:ascii="Times New Roman" w:hAnsi="Times New Roman" w:cs="Times New Roman"/>
        </w:rPr>
        <w:t xml:space="preserve"> two</w:t>
      </w:r>
      <w:r w:rsidR="00211CF9" w:rsidRPr="00755626">
        <w:rPr>
          <w:rFonts w:ascii="Times New Roman" w:hAnsi="Times New Roman" w:cs="Times New Roman"/>
        </w:rPr>
        <w:t xml:space="preserve"> urgent</w:t>
      </w:r>
      <w:r w:rsidRPr="00755626">
        <w:rPr>
          <w:rFonts w:ascii="Times New Roman" w:hAnsi="Times New Roman" w:cs="Times New Roman"/>
        </w:rPr>
        <w:t xml:space="preserve"> aspects of the current situation: (1)</w:t>
      </w:r>
      <w:r w:rsidR="00843A59" w:rsidRPr="00755626">
        <w:rPr>
          <w:rFonts w:ascii="Times New Roman" w:hAnsi="Times New Roman" w:cs="Times New Roman"/>
        </w:rPr>
        <w:t xml:space="preserve"> the </w:t>
      </w:r>
      <w:r w:rsidR="00981FF9" w:rsidRPr="00755626">
        <w:rPr>
          <w:rFonts w:ascii="Times New Roman" w:hAnsi="Times New Roman" w:cs="Times New Roman"/>
        </w:rPr>
        <w:t xml:space="preserve">$51 million in excess surplus </w:t>
      </w:r>
      <w:r w:rsidR="0087164A" w:rsidRPr="00755626">
        <w:rPr>
          <w:rFonts w:ascii="Times New Roman" w:hAnsi="Times New Roman" w:cs="Times New Roman"/>
        </w:rPr>
        <w:t xml:space="preserve">that </w:t>
      </w:r>
      <w:r w:rsidR="00981FF9" w:rsidRPr="00755626">
        <w:rPr>
          <w:rFonts w:ascii="Times New Roman" w:hAnsi="Times New Roman" w:cs="Times New Roman"/>
        </w:rPr>
        <w:t>has been upheld by the Court of Appeals</w:t>
      </w:r>
      <w:r w:rsidR="0087164A" w:rsidRPr="00755626">
        <w:rPr>
          <w:rFonts w:ascii="Times New Roman" w:hAnsi="Times New Roman" w:cs="Times New Roman"/>
        </w:rPr>
        <w:t xml:space="preserve">, which </w:t>
      </w:r>
      <w:r w:rsidR="00981FF9" w:rsidRPr="00755626">
        <w:rPr>
          <w:rFonts w:ascii="Times New Roman" w:hAnsi="Times New Roman" w:cs="Times New Roman"/>
        </w:rPr>
        <w:t xml:space="preserve">should be spent </w:t>
      </w:r>
      <w:r w:rsidRPr="00755626">
        <w:rPr>
          <w:rFonts w:ascii="Times New Roman" w:hAnsi="Times New Roman" w:cs="Times New Roman"/>
        </w:rPr>
        <w:t xml:space="preserve">immediately </w:t>
      </w:r>
      <w:r w:rsidR="00981FF9" w:rsidRPr="00755626">
        <w:rPr>
          <w:rFonts w:ascii="Times New Roman" w:hAnsi="Times New Roman" w:cs="Times New Roman"/>
        </w:rPr>
        <w:t xml:space="preserve">on </w:t>
      </w:r>
      <w:r w:rsidR="00FC4789" w:rsidRPr="00755626">
        <w:rPr>
          <w:rFonts w:ascii="Times New Roman" w:hAnsi="Times New Roman" w:cs="Times New Roman"/>
        </w:rPr>
        <w:t xml:space="preserve">community health </w:t>
      </w:r>
      <w:r w:rsidR="00981FF9" w:rsidRPr="00755626">
        <w:rPr>
          <w:rFonts w:ascii="Times New Roman" w:hAnsi="Times New Roman" w:cs="Times New Roman"/>
        </w:rPr>
        <w:t xml:space="preserve">needs created by the pandemic, and </w:t>
      </w:r>
      <w:r w:rsidRPr="00755626">
        <w:rPr>
          <w:rFonts w:ascii="Times New Roman" w:hAnsi="Times New Roman" w:cs="Times New Roman"/>
        </w:rPr>
        <w:t xml:space="preserve">(2) </w:t>
      </w:r>
      <w:r w:rsidR="00843A59" w:rsidRPr="00755626">
        <w:rPr>
          <w:rFonts w:ascii="Times New Roman" w:hAnsi="Times New Roman" w:cs="Times New Roman"/>
        </w:rPr>
        <w:t xml:space="preserve">the </w:t>
      </w:r>
      <w:r w:rsidR="00981FF9" w:rsidRPr="00755626">
        <w:rPr>
          <w:rFonts w:ascii="Times New Roman" w:hAnsi="Times New Roman" w:cs="Times New Roman"/>
        </w:rPr>
        <w:t xml:space="preserve">five </w:t>
      </w:r>
      <w:r w:rsidR="00417F63" w:rsidRPr="00755626">
        <w:rPr>
          <w:rFonts w:ascii="Times New Roman" w:hAnsi="Times New Roman" w:cs="Times New Roman"/>
        </w:rPr>
        <w:t>issues remanded by the Court</w:t>
      </w:r>
      <w:r w:rsidR="00211CF9" w:rsidRPr="00755626">
        <w:rPr>
          <w:rFonts w:ascii="Times New Roman" w:hAnsi="Times New Roman" w:cs="Times New Roman"/>
        </w:rPr>
        <w:t xml:space="preserve"> to the </w:t>
      </w:r>
      <w:proofErr w:type="spellStart"/>
      <w:r w:rsidR="00211CF9" w:rsidRPr="00755626">
        <w:rPr>
          <w:rFonts w:ascii="Times New Roman" w:hAnsi="Times New Roman" w:cs="Times New Roman"/>
        </w:rPr>
        <w:t>DISB</w:t>
      </w:r>
      <w:proofErr w:type="spellEnd"/>
      <w:r w:rsidR="00211CF9" w:rsidRPr="00755626">
        <w:rPr>
          <w:rFonts w:ascii="Times New Roman" w:hAnsi="Times New Roman" w:cs="Times New Roman"/>
        </w:rPr>
        <w:t xml:space="preserve"> </w:t>
      </w:r>
      <w:r w:rsidR="0087164A" w:rsidRPr="00755626">
        <w:rPr>
          <w:rFonts w:ascii="Times New Roman" w:hAnsi="Times New Roman" w:cs="Times New Roman"/>
        </w:rPr>
        <w:t xml:space="preserve">that </w:t>
      </w:r>
      <w:r w:rsidR="00211CF9" w:rsidRPr="00755626">
        <w:rPr>
          <w:rFonts w:ascii="Times New Roman" w:hAnsi="Times New Roman" w:cs="Times New Roman"/>
        </w:rPr>
        <w:t>should be promptly resolved</w:t>
      </w:r>
      <w:r w:rsidR="00843A59" w:rsidRPr="00755626">
        <w:rPr>
          <w:rFonts w:ascii="Times New Roman" w:hAnsi="Times New Roman" w:cs="Times New Roman"/>
        </w:rPr>
        <w:t>.</w:t>
      </w:r>
      <w:r w:rsidR="007D4667">
        <w:rPr>
          <w:rFonts w:ascii="Times New Roman" w:hAnsi="Times New Roman" w:cs="Times New Roman"/>
        </w:rPr>
        <w:t xml:space="preserve"> </w:t>
      </w:r>
      <w:r w:rsidR="00843A59" w:rsidRPr="00755626">
        <w:rPr>
          <w:rFonts w:ascii="Times New Roman" w:hAnsi="Times New Roman" w:cs="Times New Roman"/>
        </w:rPr>
        <w:t xml:space="preserve">They </w:t>
      </w:r>
      <w:r w:rsidR="005674A2" w:rsidRPr="00755626">
        <w:rPr>
          <w:rFonts w:ascii="Times New Roman" w:hAnsi="Times New Roman" w:cs="Times New Roman"/>
        </w:rPr>
        <w:t xml:space="preserve">are not </w:t>
      </w:r>
      <w:r w:rsidR="00B51459" w:rsidRPr="00755626">
        <w:rPr>
          <w:rFonts w:ascii="Times New Roman" w:hAnsi="Times New Roman" w:cs="Times New Roman"/>
        </w:rPr>
        <w:t xml:space="preserve">unduly </w:t>
      </w:r>
      <w:r w:rsidR="005674A2" w:rsidRPr="00755626">
        <w:rPr>
          <w:rFonts w:ascii="Times New Roman" w:hAnsi="Times New Roman" w:cs="Times New Roman"/>
        </w:rPr>
        <w:t xml:space="preserve">complicated and </w:t>
      </w:r>
      <w:r w:rsidR="00211CF9" w:rsidRPr="00755626">
        <w:rPr>
          <w:rFonts w:ascii="Times New Roman" w:hAnsi="Times New Roman" w:cs="Times New Roman"/>
        </w:rPr>
        <w:t>their resolution would make av</w:t>
      </w:r>
      <w:r w:rsidR="00DA317D" w:rsidRPr="00755626">
        <w:rPr>
          <w:rFonts w:ascii="Times New Roman" w:hAnsi="Times New Roman" w:cs="Times New Roman"/>
        </w:rPr>
        <w:t>ailable</w:t>
      </w:r>
      <w:r w:rsidR="00211CF9" w:rsidRPr="00755626">
        <w:rPr>
          <w:rFonts w:ascii="Times New Roman" w:hAnsi="Times New Roman" w:cs="Times New Roman"/>
        </w:rPr>
        <w:t xml:space="preserve"> a</w:t>
      </w:r>
      <w:r w:rsidR="00DA317D" w:rsidRPr="00755626">
        <w:rPr>
          <w:rFonts w:ascii="Times New Roman" w:hAnsi="Times New Roman" w:cs="Times New Roman"/>
        </w:rPr>
        <w:t>t least an</w:t>
      </w:r>
      <w:r w:rsidR="00211CF9" w:rsidRPr="00755626">
        <w:rPr>
          <w:rFonts w:ascii="Times New Roman" w:hAnsi="Times New Roman" w:cs="Times New Roman"/>
        </w:rPr>
        <w:t xml:space="preserve"> additional $250 million to address pressing community</w:t>
      </w:r>
      <w:r w:rsidR="00DA317D" w:rsidRPr="00755626">
        <w:rPr>
          <w:rFonts w:ascii="Times New Roman" w:hAnsi="Times New Roman" w:cs="Times New Roman"/>
        </w:rPr>
        <w:t xml:space="preserve"> </w:t>
      </w:r>
      <w:r w:rsidR="00211CF9" w:rsidRPr="00755626">
        <w:rPr>
          <w:rFonts w:ascii="Times New Roman" w:hAnsi="Times New Roman" w:cs="Times New Roman"/>
        </w:rPr>
        <w:t>health needs.</w:t>
      </w:r>
    </w:p>
    <w:p w:rsidR="00981FF9" w:rsidRPr="00755626" w:rsidRDefault="00981FF9" w:rsidP="008C1936">
      <w:pPr>
        <w:rPr>
          <w:rFonts w:ascii="Times New Roman" w:hAnsi="Times New Roman" w:cs="Times New Roman"/>
        </w:rPr>
      </w:pPr>
    </w:p>
    <w:p w:rsidR="00146DBA" w:rsidRPr="00755626" w:rsidRDefault="006B78C2" w:rsidP="00CF7A1E">
      <w:pPr>
        <w:ind w:firstLine="720"/>
        <w:jc w:val="both"/>
        <w:rPr>
          <w:rFonts w:ascii="Times New Roman" w:hAnsi="Times New Roman" w:cs="Times New Roman"/>
        </w:rPr>
      </w:pPr>
      <w:r w:rsidRPr="00755626">
        <w:rPr>
          <w:rFonts w:ascii="Times New Roman" w:hAnsi="Times New Roman" w:cs="Times New Roman"/>
        </w:rPr>
        <w:t>The case for p</w:t>
      </w:r>
      <w:r w:rsidR="00D4703A" w:rsidRPr="00755626">
        <w:rPr>
          <w:rFonts w:ascii="Times New Roman" w:hAnsi="Times New Roman" w:cs="Times New Roman"/>
        </w:rPr>
        <w:t xml:space="preserve">rompt action </w:t>
      </w:r>
      <w:r w:rsidR="00981FF9" w:rsidRPr="00755626">
        <w:rPr>
          <w:rFonts w:ascii="Times New Roman" w:hAnsi="Times New Roman" w:cs="Times New Roman"/>
        </w:rPr>
        <w:t xml:space="preserve">by </w:t>
      </w:r>
      <w:r w:rsidR="00D4703A" w:rsidRPr="00755626">
        <w:rPr>
          <w:rFonts w:ascii="Times New Roman" w:hAnsi="Times New Roman" w:cs="Times New Roman"/>
        </w:rPr>
        <w:t>the Commissioner</w:t>
      </w:r>
      <w:r w:rsidR="00981FF9" w:rsidRPr="00755626">
        <w:rPr>
          <w:rFonts w:ascii="Times New Roman" w:hAnsi="Times New Roman" w:cs="Times New Roman"/>
        </w:rPr>
        <w:t xml:space="preserve"> on both the $51 million and on the five issues </w:t>
      </w:r>
      <w:r w:rsidR="00072CA4" w:rsidRPr="00755626">
        <w:rPr>
          <w:rFonts w:ascii="Times New Roman" w:hAnsi="Times New Roman" w:cs="Times New Roman"/>
        </w:rPr>
        <w:t xml:space="preserve">remanded by the Court </w:t>
      </w:r>
      <w:r w:rsidR="001E1DEA" w:rsidRPr="00755626">
        <w:rPr>
          <w:rFonts w:ascii="Times New Roman" w:hAnsi="Times New Roman" w:cs="Times New Roman"/>
        </w:rPr>
        <w:t xml:space="preserve">is </w:t>
      </w:r>
      <w:r w:rsidR="0087164A" w:rsidRPr="00755626">
        <w:rPr>
          <w:rFonts w:ascii="Times New Roman" w:hAnsi="Times New Roman" w:cs="Times New Roman"/>
        </w:rPr>
        <w:t xml:space="preserve">particularly </w:t>
      </w:r>
      <w:r w:rsidR="001E1DEA" w:rsidRPr="00755626">
        <w:rPr>
          <w:rFonts w:ascii="Times New Roman" w:hAnsi="Times New Roman" w:cs="Times New Roman"/>
        </w:rPr>
        <w:t xml:space="preserve">compelling because </w:t>
      </w:r>
      <w:proofErr w:type="spellStart"/>
      <w:r w:rsidR="00D77E8A" w:rsidRPr="00755626">
        <w:rPr>
          <w:rFonts w:ascii="Times New Roman" w:hAnsi="Times New Roman" w:cs="Times New Roman"/>
        </w:rPr>
        <w:t>GHMSI</w:t>
      </w:r>
      <w:proofErr w:type="spellEnd"/>
      <w:r w:rsidR="00834CFF" w:rsidRPr="00755626">
        <w:rPr>
          <w:rFonts w:ascii="Times New Roman" w:hAnsi="Times New Roman" w:cs="Times New Roman"/>
        </w:rPr>
        <w:t xml:space="preserve"> continu</w:t>
      </w:r>
      <w:r w:rsidR="00EC64CC" w:rsidRPr="00755626">
        <w:rPr>
          <w:rFonts w:ascii="Times New Roman" w:hAnsi="Times New Roman" w:cs="Times New Roman"/>
        </w:rPr>
        <w:t>es</w:t>
      </w:r>
      <w:r w:rsidR="00D77E8A" w:rsidRPr="00755626">
        <w:rPr>
          <w:rFonts w:ascii="Times New Roman" w:hAnsi="Times New Roman" w:cs="Times New Roman"/>
        </w:rPr>
        <w:t xml:space="preserve"> to</w:t>
      </w:r>
      <w:r w:rsidR="005674A2" w:rsidRPr="00755626">
        <w:rPr>
          <w:rFonts w:ascii="Times New Roman" w:hAnsi="Times New Roman" w:cs="Times New Roman"/>
        </w:rPr>
        <w:t xml:space="preserve"> </w:t>
      </w:r>
      <w:r w:rsidR="007D3D8C" w:rsidRPr="00755626">
        <w:rPr>
          <w:rFonts w:ascii="Times New Roman" w:hAnsi="Times New Roman" w:cs="Times New Roman"/>
        </w:rPr>
        <w:t xml:space="preserve">refuse to </w:t>
      </w:r>
      <w:r w:rsidR="00D77E8A" w:rsidRPr="00755626">
        <w:rPr>
          <w:rFonts w:ascii="Times New Roman" w:hAnsi="Times New Roman" w:cs="Times New Roman"/>
        </w:rPr>
        <w:t xml:space="preserve">acknowledge that its </w:t>
      </w:r>
      <w:r w:rsidR="00834CFF" w:rsidRPr="00755626">
        <w:rPr>
          <w:rFonts w:ascii="Times New Roman" w:hAnsi="Times New Roman" w:cs="Times New Roman"/>
        </w:rPr>
        <w:t>surplus</w:t>
      </w:r>
      <w:r w:rsidR="00D77E8A" w:rsidRPr="00755626">
        <w:rPr>
          <w:rFonts w:ascii="Times New Roman" w:hAnsi="Times New Roman" w:cs="Times New Roman"/>
        </w:rPr>
        <w:t xml:space="preserve"> is excessive</w:t>
      </w:r>
      <w:r w:rsidR="00EC64CC" w:rsidRPr="00755626">
        <w:rPr>
          <w:rFonts w:ascii="Times New Roman" w:hAnsi="Times New Roman" w:cs="Times New Roman"/>
        </w:rPr>
        <w:t xml:space="preserve">; refuses </w:t>
      </w:r>
      <w:r w:rsidR="00D77E8A" w:rsidRPr="00755626">
        <w:rPr>
          <w:rFonts w:ascii="Times New Roman" w:hAnsi="Times New Roman" w:cs="Times New Roman"/>
        </w:rPr>
        <w:t xml:space="preserve">to </w:t>
      </w:r>
      <w:r w:rsidR="00834CFF" w:rsidRPr="00755626">
        <w:rPr>
          <w:rFonts w:ascii="Times New Roman" w:hAnsi="Times New Roman" w:cs="Times New Roman"/>
        </w:rPr>
        <w:t>comply</w:t>
      </w:r>
      <w:r w:rsidR="00D77E8A" w:rsidRPr="00755626">
        <w:rPr>
          <w:rFonts w:ascii="Times New Roman" w:hAnsi="Times New Roman" w:cs="Times New Roman"/>
        </w:rPr>
        <w:t xml:space="preserve"> with the </w:t>
      </w:r>
      <w:r w:rsidR="00834CFF" w:rsidRPr="00755626">
        <w:rPr>
          <w:rFonts w:ascii="Times New Roman" w:hAnsi="Times New Roman" w:cs="Times New Roman"/>
        </w:rPr>
        <w:t>Commissioner’s</w:t>
      </w:r>
      <w:r w:rsidR="00D77E8A" w:rsidRPr="00755626">
        <w:rPr>
          <w:rFonts w:ascii="Times New Roman" w:hAnsi="Times New Roman" w:cs="Times New Roman"/>
        </w:rPr>
        <w:t xml:space="preserve"> </w:t>
      </w:r>
      <w:r w:rsidR="00834CFF" w:rsidRPr="00755626">
        <w:rPr>
          <w:rFonts w:ascii="Times New Roman" w:hAnsi="Times New Roman" w:cs="Times New Roman"/>
        </w:rPr>
        <w:t>determinations</w:t>
      </w:r>
      <w:r w:rsidR="00D77E8A" w:rsidRPr="00755626">
        <w:rPr>
          <w:rFonts w:ascii="Times New Roman" w:hAnsi="Times New Roman" w:cs="Times New Roman"/>
        </w:rPr>
        <w:t xml:space="preserve"> of statutory limits on that su</w:t>
      </w:r>
      <w:r w:rsidR="00834CFF" w:rsidRPr="00755626">
        <w:rPr>
          <w:rFonts w:ascii="Times New Roman" w:hAnsi="Times New Roman" w:cs="Times New Roman"/>
        </w:rPr>
        <w:t>rplus</w:t>
      </w:r>
      <w:r w:rsidR="00EC64CC" w:rsidRPr="00755626">
        <w:rPr>
          <w:rFonts w:ascii="Times New Roman" w:hAnsi="Times New Roman" w:cs="Times New Roman"/>
        </w:rPr>
        <w:t xml:space="preserve">; and has allowed its surplus </w:t>
      </w:r>
      <w:r w:rsidR="00EC5A94" w:rsidRPr="00755626">
        <w:rPr>
          <w:rFonts w:ascii="Times New Roman" w:hAnsi="Times New Roman" w:cs="Times New Roman"/>
        </w:rPr>
        <w:t>to rise dramatically</w:t>
      </w:r>
      <w:r w:rsidR="00EC64CC" w:rsidRPr="00755626">
        <w:rPr>
          <w:rFonts w:ascii="Times New Roman" w:hAnsi="Times New Roman" w:cs="Times New Roman"/>
        </w:rPr>
        <w:t xml:space="preserve"> so that</w:t>
      </w:r>
      <w:r w:rsidR="00931E5D" w:rsidRPr="00755626">
        <w:rPr>
          <w:rFonts w:ascii="Times New Roman" w:hAnsi="Times New Roman" w:cs="Times New Roman"/>
        </w:rPr>
        <w:t>,</w:t>
      </w:r>
      <w:r w:rsidR="00EC64CC" w:rsidRPr="00755626">
        <w:rPr>
          <w:rFonts w:ascii="Times New Roman" w:hAnsi="Times New Roman" w:cs="Times New Roman"/>
        </w:rPr>
        <w:t xml:space="preserve"> </w:t>
      </w:r>
      <w:r w:rsidR="00834CFF" w:rsidRPr="00755626">
        <w:rPr>
          <w:rFonts w:ascii="Times New Roman" w:hAnsi="Times New Roman" w:cs="Times New Roman"/>
        </w:rPr>
        <w:t>at the end of 2019</w:t>
      </w:r>
      <w:r w:rsidR="00931E5D" w:rsidRPr="00755626">
        <w:rPr>
          <w:rFonts w:ascii="Times New Roman" w:hAnsi="Times New Roman" w:cs="Times New Roman"/>
        </w:rPr>
        <w:t>,</w:t>
      </w:r>
      <w:r w:rsidR="00834CFF" w:rsidRPr="00755626">
        <w:rPr>
          <w:rFonts w:ascii="Times New Roman" w:hAnsi="Times New Roman" w:cs="Times New Roman"/>
        </w:rPr>
        <w:t xml:space="preserve"> </w:t>
      </w:r>
      <w:r w:rsidR="00EC64CC" w:rsidRPr="00755626">
        <w:rPr>
          <w:rFonts w:ascii="Times New Roman" w:hAnsi="Times New Roman" w:cs="Times New Roman"/>
        </w:rPr>
        <w:t>it was at</w:t>
      </w:r>
      <w:r w:rsidR="00834CFF" w:rsidRPr="00755626">
        <w:rPr>
          <w:rFonts w:ascii="Times New Roman" w:hAnsi="Times New Roman" w:cs="Times New Roman"/>
        </w:rPr>
        <w:t xml:space="preserve"> an all-time high</w:t>
      </w:r>
      <w:r w:rsidR="007D3D8C" w:rsidRPr="00755626">
        <w:rPr>
          <w:rFonts w:ascii="Times New Roman" w:hAnsi="Times New Roman" w:cs="Times New Roman"/>
          <w:i/>
        </w:rPr>
        <w:t>.</w:t>
      </w:r>
      <w:r w:rsidR="007D4667">
        <w:rPr>
          <w:rFonts w:ascii="Times New Roman" w:hAnsi="Times New Roman" w:cs="Times New Roman"/>
          <w:i/>
        </w:rPr>
        <w:t xml:space="preserve"> </w:t>
      </w:r>
      <w:proofErr w:type="spellStart"/>
      <w:r w:rsidR="00613A7D">
        <w:rPr>
          <w:rFonts w:ascii="Times New Roman" w:hAnsi="Times New Roman" w:cs="Times New Roman"/>
        </w:rPr>
        <w:t>MIEAA</w:t>
      </w:r>
      <w:proofErr w:type="spellEnd"/>
      <w:r w:rsidR="00613A7D">
        <w:rPr>
          <w:rFonts w:ascii="Times New Roman" w:hAnsi="Times New Roman" w:cs="Times New Roman"/>
        </w:rPr>
        <w:t xml:space="preserve"> </w:t>
      </w:r>
      <w:r w:rsidR="00613A7D" w:rsidRPr="00613A7D">
        <w:rPr>
          <w:rFonts w:ascii="Times New Roman" w:hAnsi="Times New Roman" w:cs="Times New Roman"/>
        </w:rPr>
        <w:t xml:space="preserve">requires </w:t>
      </w:r>
      <w:proofErr w:type="spellStart"/>
      <w:r w:rsidR="00613A7D" w:rsidRPr="00613A7D">
        <w:rPr>
          <w:rFonts w:ascii="Times New Roman" w:hAnsi="Times New Roman" w:cs="Times New Roman"/>
        </w:rPr>
        <w:t>GHMSI</w:t>
      </w:r>
      <w:proofErr w:type="spellEnd"/>
      <w:r w:rsidR="00613A7D" w:rsidRPr="00613A7D">
        <w:rPr>
          <w:rFonts w:ascii="Times New Roman" w:hAnsi="Times New Roman" w:cs="Times New Roman"/>
        </w:rPr>
        <w:t xml:space="preserve"> to “engage in community health reinvestment to the maximum feasible extent consistent with financial soundness and efficiency.”</w:t>
      </w:r>
      <w:r w:rsidR="00613A7D">
        <w:rPr>
          <w:rFonts w:ascii="Times New Roman" w:hAnsi="Times New Roman" w:cs="Times New Roman"/>
        </w:rPr>
        <w:t xml:space="preserve"> </w:t>
      </w:r>
      <w:r w:rsidR="00613A7D" w:rsidRPr="00613A7D">
        <w:rPr>
          <w:rFonts w:ascii="Times New Roman" w:hAnsi="Times New Roman" w:cs="Times New Roman"/>
        </w:rPr>
        <w:t>D.C. Code § 31-3505.01</w:t>
      </w:r>
      <w:r w:rsidR="00613A7D">
        <w:rPr>
          <w:rFonts w:ascii="Times New Roman" w:hAnsi="Times New Roman" w:cs="Times New Roman"/>
        </w:rPr>
        <w:t xml:space="preserve">. </w:t>
      </w:r>
      <w:r w:rsidR="007D3D8C" w:rsidRPr="00755626">
        <w:rPr>
          <w:rFonts w:ascii="Times New Roman" w:hAnsi="Times New Roman" w:cs="Times New Roman"/>
        </w:rPr>
        <w:t xml:space="preserve">Moreover, </w:t>
      </w:r>
      <w:r w:rsidR="001C6669" w:rsidRPr="00755626">
        <w:rPr>
          <w:rFonts w:ascii="Times New Roman" w:hAnsi="Times New Roman" w:cs="Times New Roman"/>
        </w:rPr>
        <w:t>the</w:t>
      </w:r>
      <w:r w:rsidR="00EC64CC" w:rsidRPr="00755626">
        <w:rPr>
          <w:rFonts w:ascii="Times New Roman" w:hAnsi="Times New Roman" w:cs="Times New Roman"/>
        </w:rPr>
        <w:t>re are</w:t>
      </w:r>
      <w:r w:rsidR="001C6669" w:rsidRPr="00755626">
        <w:rPr>
          <w:rFonts w:ascii="Times New Roman" w:hAnsi="Times New Roman" w:cs="Times New Roman"/>
        </w:rPr>
        <w:t xml:space="preserve"> </w:t>
      </w:r>
      <w:r w:rsidR="00956D28" w:rsidRPr="00755626">
        <w:rPr>
          <w:rFonts w:ascii="Times New Roman" w:hAnsi="Times New Roman" w:cs="Times New Roman"/>
        </w:rPr>
        <w:t xml:space="preserve">critical health needs in the District that </w:t>
      </w:r>
      <w:r w:rsidR="00613A7D">
        <w:rPr>
          <w:rFonts w:ascii="Times New Roman" w:hAnsi="Times New Roman" w:cs="Times New Roman"/>
        </w:rPr>
        <w:t>the</w:t>
      </w:r>
      <w:r w:rsidR="00BA19C0" w:rsidRPr="00755626">
        <w:rPr>
          <w:rFonts w:ascii="Times New Roman" w:hAnsi="Times New Roman" w:cs="Times New Roman"/>
        </w:rPr>
        <w:t xml:space="preserve"> </w:t>
      </w:r>
      <w:proofErr w:type="spellStart"/>
      <w:r w:rsidR="00BA19C0" w:rsidRPr="00755626">
        <w:rPr>
          <w:rFonts w:ascii="Times New Roman" w:hAnsi="Times New Roman" w:cs="Times New Roman"/>
        </w:rPr>
        <w:t>DISB</w:t>
      </w:r>
      <w:proofErr w:type="spellEnd"/>
      <w:r w:rsidR="00BA19C0" w:rsidRPr="00755626">
        <w:rPr>
          <w:rFonts w:ascii="Times New Roman" w:hAnsi="Times New Roman" w:cs="Times New Roman"/>
        </w:rPr>
        <w:t xml:space="preserve"> </w:t>
      </w:r>
      <w:r w:rsidR="00613A7D">
        <w:rPr>
          <w:rFonts w:ascii="Times New Roman" w:hAnsi="Times New Roman" w:cs="Times New Roman"/>
        </w:rPr>
        <w:t>should address by</w:t>
      </w:r>
      <w:r w:rsidR="00464E53" w:rsidRPr="00755626">
        <w:rPr>
          <w:rFonts w:ascii="Times New Roman" w:hAnsi="Times New Roman" w:cs="Times New Roman"/>
        </w:rPr>
        <w:t xml:space="preserve"> ordering </w:t>
      </w:r>
      <w:proofErr w:type="spellStart"/>
      <w:r w:rsidR="00464E53" w:rsidRPr="00755626">
        <w:rPr>
          <w:rFonts w:ascii="Times New Roman" w:hAnsi="Times New Roman" w:cs="Times New Roman"/>
        </w:rPr>
        <w:t>GHMSI</w:t>
      </w:r>
      <w:proofErr w:type="spellEnd"/>
      <w:r w:rsidR="00464E53" w:rsidRPr="00755626">
        <w:rPr>
          <w:rFonts w:ascii="Times New Roman" w:hAnsi="Times New Roman" w:cs="Times New Roman"/>
        </w:rPr>
        <w:t xml:space="preserve"> to spend down </w:t>
      </w:r>
      <w:r w:rsidR="00956D28" w:rsidRPr="00755626">
        <w:rPr>
          <w:rFonts w:ascii="Times New Roman" w:hAnsi="Times New Roman" w:cs="Times New Roman"/>
        </w:rPr>
        <w:t>excess surplus</w:t>
      </w:r>
      <w:r w:rsidR="000E1DC1" w:rsidRPr="00755626">
        <w:rPr>
          <w:rFonts w:ascii="Times New Roman" w:hAnsi="Times New Roman" w:cs="Times New Roman"/>
        </w:rPr>
        <w:t>.</w:t>
      </w:r>
      <w:r w:rsidR="00417F63" w:rsidRPr="00755626">
        <w:rPr>
          <w:rFonts w:ascii="Times New Roman" w:hAnsi="Times New Roman" w:cs="Times New Roman"/>
        </w:rPr>
        <w:t xml:space="preserve"> </w:t>
      </w:r>
      <w:r w:rsidR="00072CA4" w:rsidRPr="00755626">
        <w:rPr>
          <w:rFonts w:ascii="Times New Roman" w:hAnsi="Times New Roman" w:cs="Times New Roman"/>
        </w:rPr>
        <w:t xml:space="preserve">In </w:t>
      </w:r>
      <w:r w:rsidR="00417F63" w:rsidRPr="00755626">
        <w:rPr>
          <w:rFonts w:ascii="Times New Roman" w:hAnsi="Times New Roman" w:cs="Times New Roman"/>
        </w:rPr>
        <w:t>the current public health emergency</w:t>
      </w:r>
      <w:r w:rsidR="00072CA4" w:rsidRPr="00755626">
        <w:rPr>
          <w:rFonts w:ascii="Times New Roman" w:hAnsi="Times New Roman" w:cs="Times New Roman"/>
        </w:rPr>
        <w:t xml:space="preserve">, those needs have become even more </w:t>
      </w:r>
      <w:r w:rsidR="00EA01F8">
        <w:rPr>
          <w:rFonts w:ascii="Times New Roman" w:hAnsi="Times New Roman" w:cs="Times New Roman"/>
        </w:rPr>
        <w:t>urgent</w:t>
      </w:r>
      <w:r w:rsidR="00417F63" w:rsidRPr="00755626">
        <w:rPr>
          <w:rFonts w:ascii="Times New Roman" w:hAnsi="Times New Roman" w:cs="Times New Roman"/>
        </w:rPr>
        <w:t>.</w:t>
      </w:r>
      <w:r w:rsidR="007D4667">
        <w:rPr>
          <w:rFonts w:ascii="Times New Roman" w:hAnsi="Times New Roman" w:cs="Times New Roman"/>
        </w:rPr>
        <w:t xml:space="preserve"> </w:t>
      </w:r>
      <w:r w:rsidR="007D3D8C" w:rsidRPr="00755626">
        <w:rPr>
          <w:rFonts w:ascii="Times New Roman" w:hAnsi="Times New Roman" w:cs="Times New Roman"/>
        </w:rPr>
        <w:t xml:space="preserve">And past delays in the </w:t>
      </w:r>
      <w:proofErr w:type="spellStart"/>
      <w:r w:rsidR="007D3D8C" w:rsidRPr="00755626">
        <w:rPr>
          <w:rFonts w:ascii="Times New Roman" w:hAnsi="Times New Roman" w:cs="Times New Roman"/>
        </w:rPr>
        <w:t>DISB</w:t>
      </w:r>
      <w:proofErr w:type="spellEnd"/>
      <w:r w:rsidR="007D3D8C" w:rsidRPr="00755626">
        <w:rPr>
          <w:rFonts w:ascii="Times New Roman" w:hAnsi="Times New Roman" w:cs="Times New Roman"/>
        </w:rPr>
        <w:t xml:space="preserve"> proceedings themselves have contributed significantly to the long overdue enforcement of </w:t>
      </w:r>
      <w:proofErr w:type="spellStart"/>
      <w:r w:rsidR="007D3D8C" w:rsidRPr="00755626">
        <w:rPr>
          <w:rFonts w:ascii="Times New Roman" w:hAnsi="Times New Roman" w:cs="Times New Roman"/>
        </w:rPr>
        <w:t>GHMSI’s</w:t>
      </w:r>
      <w:proofErr w:type="spellEnd"/>
      <w:r w:rsidR="007D3D8C" w:rsidRPr="00755626">
        <w:rPr>
          <w:rFonts w:ascii="Times New Roman" w:hAnsi="Times New Roman" w:cs="Times New Roman"/>
        </w:rPr>
        <w:t xml:space="preserve"> community health obligations, further supporting immediate </w:t>
      </w:r>
      <w:r w:rsidR="00F822C5">
        <w:rPr>
          <w:rFonts w:ascii="Times New Roman" w:hAnsi="Times New Roman" w:cs="Times New Roman"/>
        </w:rPr>
        <w:t xml:space="preserve">action to require disbursement </w:t>
      </w:r>
      <w:r w:rsidR="007D3D8C" w:rsidRPr="00755626">
        <w:rPr>
          <w:rFonts w:ascii="Times New Roman" w:hAnsi="Times New Roman" w:cs="Times New Roman"/>
        </w:rPr>
        <w:t xml:space="preserve">of the amount resolved and </w:t>
      </w:r>
      <w:r w:rsidR="00F822C5">
        <w:rPr>
          <w:rFonts w:ascii="Times New Roman" w:hAnsi="Times New Roman" w:cs="Times New Roman"/>
        </w:rPr>
        <w:t>to resolve as</w:t>
      </w:r>
      <w:r w:rsidR="000527FE">
        <w:rPr>
          <w:rFonts w:ascii="Times New Roman" w:hAnsi="Times New Roman" w:cs="Times New Roman"/>
        </w:rPr>
        <w:t xml:space="preserve"> soon as possible</w:t>
      </w:r>
      <w:r w:rsidR="007D3D8C" w:rsidRPr="00755626">
        <w:rPr>
          <w:rFonts w:ascii="Times New Roman" w:hAnsi="Times New Roman" w:cs="Times New Roman"/>
        </w:rPr>
        <w:t xml:space="preserve"> the </w:t>
      </w:r>
      <w:r w:rsidR="000527FE">
        <w:rPr>
          <w:rFonts w:ascii="Times New Roman" w:hAnsi="Times New Roman" w:cs="Times New Roman"/>
        </w:rPr>
        <w:t>five remaining</w:t>
      </w:r>
      <w:r w:rsidR="007D3D8C" w:rsidRPr="00755626">
        <w:rPr>
          <w:rFonts w:ascii="Times New Roman" w:hAnsi="Times New Roman" w:cs="Times New Roman"/>
        </w:rPr>
        <w:t xml:space="preserve"> issues </w:t>
      </w:r>
      <w:r w:rsidR="00F822C5">
        <w:rPr>
          <w:rFonts w:ascii="Times New Roman" w:hAnsi="Times New Roman" w:cs="Times New Roman"/>
        </w:rPr>
        <w:t>that will determin</w:t>
      </w:r>
      <w:r w:rsidR="00122C0C">
        <w:rPr>
          <w:rFonts w:ascii="Times New Roman" w:hAnsi="Times New Roman" w:cs="Times New Roman"/>
        </w:rPr>
        <w:t>e</w:t>
      </w:r>
      <w:r w:rsidR="007D3D8C" w:rsidRPr="00755626">
        <w:rPr>
          <w:rFonts w:ascii="Times New Roman" w:hAnsi="Times New Roman" w:cs="Times New Roman"/>
        </w:rPr>
        <w:t xml:space="preserve"> the remaining amount</w:t>
      </w:r>
      <w:r w:rsidR="00F822C5">
        <w:rPr>
          <w:rFonts w:ascii="Times New Roman" w:hAnsi="Times New Roman" w:cs="Times New Roman"/>
        </w:rPr>
        <w:t xml:space="preserve"> to be disbursed</w:t>
      </w:r>
      <w:r w:rsidR="00731B95">
        <w:rPr>
          <w:rFonts w:ascii="Times New Roman" w:hAnsi="Times New Roman" w:cs="Times New Roman"/>
        </w:rPr>
        <w:t>.</w:t>
      </w:r>
    </w:p>
    <w:p w:rsidR="00215F9C" w:rsidRPr="00755626" w:rsidRDefault="00215F9C" w:rsidP="00FC3A77">
      <w:pPr>
        <w:rPr>
          <w:rFonts w:ascii="Times New Roman" w:hAnsi="Times New Roman" w:cs="Times New Roman"/>
        </w:rPr>
      </w:pPr>
    </w:p>
    <w:p w:rsidR="00FC3A77" w:rsidRPr="007035F4" w:rsidRDefault="000E1DC1" w:rsidP="00F318E8">
      <w:pPr>
        <w:pStyle w:val="Heading2"/>
        <w:rPr>
          <w:szCs w:val="24"/>
        </w:rPr>
      </w:pPr>
      <w:bookmarkStart w:id="3" w:name="_Toc40193609"/>
      <w:proofErr w:type="spellStart"/>
      <w:r w:rsidRPr="001C7D1A">
        <w:rPr>
          <w:szCs w:val="24"/>
        </w:rPr>
        <w:t>GHMSI’s</w:t>
      </w:r>
      <w:proofErr w:type="spellEnd"/>
      <w:r w:rsidRPr="001C7D1A">
        <w:rPr>
          <w:szCs w:val="24"/>
        </w:rPr>
        <w:t xml:space="preserve"> Ever-</w:t>
      </w:r>
      <w:r w:rsidR="009205D8" w:rsidRPr="001C7D1A">
        <w:rPr>
          <w:szCs w:val="24"/>
        </w:rPr>
        <w:t>Growing</w:t>
      </w:r>
      <w:r w:rsidRPr="007035F4">
        <w:rPr>
          <w:szCs w:val="24"/>
        </w:rPr>
        <w:t xml:space="preserve"> </w:t>
      </w:r>
      <w:r w:rsidR="00B07A06" w:rsidRPr="007035F4">
        <w:rPr>
          <w:szCs w:val="24"/>
        </w:rPr>
        <w:t xml:space="preserve">Excessive </w:t>
      </w:r>
      <w:r w:rsidRPr="007035F4">
        <w:rPr>
          <w:szCs w:val="24"/>
        </w:rPr>
        <w:t>Surplus</w:t>
      </w:r>
      <w:bookmarkEnd w:id="3"/>
    </w:p>
    <w:p w:rsidR="008642A7" w:rsidRPr="00755626" w:rsidRDefault="00380FBA" w:rsidP="00731B95">
      <w:pPr>
        <w:spacing w:after="240"/>
        <w:ind w:firstLine="720"/>
        <w:jc w:val="both"/>
        <w:rPr>
          <w:rFonts w:ascii="Times New Roman" w:hAnsi="Times New Roman" w:cs="Times New Roman"/>
        </w:rPr>
      </w:pPr>
      <w:r w:rsidRPr="00755626">
        <w:rPr>
          <w:rFonts w:ascii="Times New Roman" w:hAnsi="Times New Roman" w:cs="Times New Roman"/>
        </w:rPr>
        <w:t>Despite the D</w:t>
      </w:r>
      <w:r w:rsidR="00613A7D">
        <w:rPr>
          <w:rFonts w:ascii="Times New Roman" w:hAnsi="Times New Roman" w:cs="Times New Roman"/>
        </w:rPr>
        <w:t>.</w:t>
      </w:r>
      <w:r w:rsidRPr="00755626">
        <w:rPr>
          <w:rFonts w:ascii="Times New Roman" w:hAnsi="Times New Roman" w:cs="Times New Roman"/>
        </w:rPr>
        <w:t>C</w:t>
      </w:r>
      <w:r w:rsidR="00613A7D">
        <w:rPr>
          <w:rFonts w:ascii="Times New Roman" w:hAnsi="Times New Roman" w:cs="Times New Roman"/>
        </w:rPr>
        <w:t>.</w:t>
      </w:r>
      <w:r w:rsidRPr="00755626">
        <w:rPr>
          <w:rFonts w:ascii="Times New Roman" w:hAnsi="Times New Roman" w:cs="Times New Roman"/>
        </w:rPr>
        <w:t xml:space="preserve"> Council’s passage of </w:t>
      </w:r>
      <w:proofErr w:type="spellStart"/>
      <w:r w:rsidRPr="00755626">
        <w:rPr>
          <w:rFonts w:ascii="Times New Roman" w:hAnsi="Times New Roman" w:cs="Times New Roman"/>
        </w:rPr>
        <w:t>MIEAA</w:t>
      </w:r>
      <w:proofErr w:type="spellEnd"/>
      <w:r w:rsidRPr="00755626">
        <w:rPr>
          <w:rFonts w:ascii="Times New Roman" w:hAnsi="Times New Roman" w:cs="Times New Roman"/>
        </w:rPr>
        <w:t xml:space="preserve"> eleven years ago</w:t>
      </w:r>
      <w:r w:rsidR="001E3FBE" w:rsidRPr="00755626">
        <w:rPr>
          <w:rFonts w:ascii="Times New Roman" w:hAnsi="Times New Roman" w:cs="Times New Roman"/>
        </w:rPr>
        <w:t xml:space="preserve">, </w:t>
      </w:r>
      <w:proofErr w:type="spellStart"/>
      <w:r w:rsidR="001E3FBE" w:rsidRPr="00755626">
        <w:rPr>
          <w:rFonts w:ascii="Times New Roman" w:hAnsi="Times New Roman" w:cs="Times New Roman"/>
        </w:rPr>
        <w:t>GHMSI</w:t>
      </w:r>
      <w:proofErr w:type="spellEnd"/>
      <w:r w:rsidR="00EE12CD" w:rsidRPr="00755626">
        <w:rPr>
          <w:rFonts w:ascii="Times New Roman" w:hAnsi="Times New Roman" w:cs="Times New Roman"/>
        </w:rPr>
        <w:t xml:space="preserve"> has spent down </w:t>
      </w:r>
      <w:r w:rsidR="00EE12CD" w:rsidRPr="00755626">
        <w:rPr>
          <w:rFonts w:ascii="Times New Roman" w:hAnsi="Times New Roman" w:cs="Times New Roman"/>
          <w:i/>
        </w:rPr>
        <w:t>none</w:t>
      </w:r>
      <w:r w:rsidR="00EE12CD" w:rsidRPr="00755626">
        <w:rPr>
          <w:rFonts w:ascii="Times New Roman" w:hAnsi="Times New Roman" w:cs="Times New Roman"/>
        </w:rPr>
        <w:t xml:space="preserve"> of its </w:t>
      </w:r>
      <w:r w:rsidR="009205D8" w:rsidRPr="00755626">
        <w:rPr>
          <w:rFonts w:ascii="Times New Roman" w:hAnsi="Times New Roman" w:cs="Times New Roman"/>
        </w:rPr>
        <w:t xml:space="preserve">excess </w:t>
      </w:r>
      <w:r w:rsidR="00EE12CD" w:rsidRPr="00755626">
        <w:rPr>
          <w:rFonts w:ascii="Times New Roman" w:hAnsi="Times New Roman" w:cs="Times New Roman"/>
        </w:rPr>
        <w:t xml:space="preserve">surplus to address </w:t>
      </w:r>
      <w:r w:rsidR="0087164A" w:rsidRPr="00755626">
        <w:rPr>
          <w:rFonts w:ascii="Times New Roman" w:hAnsi="Times New Roman" w:cs="Times New Roman"/>
        </w:rPr>
        <w:t xml:space="preserve">the </w:t>
      </w:r>
      <w:r w:rsidR="00EE12CD" w:rsidRPr="00755626">
        <w:rPr>
          <w:rFonts w:ascii="Times New Roman" w:hAnsi="Times New Roman" w:cs="Times New Roman"/>
        </w:rPr>
        <w:t>community health needs</w:t>
      </w:r>
      <w:r w:rsidR="0087164A" w:rsidRPr="00755626">
        <w:rPr>
          <w:rFonts w:ascii="Times New Roman" w:hAnsi="Times New Roman" w:cs="Times New Roman"/>
        </w:rPr>
        <w:t xml:space="preserve"> of the District as required by that statute</w:t>
      </w:r>
      <w:r w:rsidRPr="00755626">
        <w:rPr>
          <w:rFonts w:ascii="Times New Roman" w:hAnsi="Times New Roman" w:cs="Times New Roman"/>
        </w:rPr>
        <w:t>. To the contrary,</w:t>
      </w:r>
      <w:r w:rsidR="00EE12CD" w:rsidRPr="00755626">
        <w:rPr>
          <w:rFonts w:ascii="Times New Roman" w:hAnsi="Times New Roman" w:cs="Times New Roman"/>
        </w:rPr>
        <w:t xml:space="preserve"> </w:t>
      </w:r>
      <w:proofErr w:type="spellStart"/>
      <w:r w:rsidR="0087164A" w:rsidRPr="00755626">
        <w:rPr>
          <w:rFonts w:ascii="Times New Roman" w:hAnsi="Times New Roman" w:cs="Times New Roman"/>
        </w:rPr>
        <w:t>GHMSI</w:t>
      </w:r>
      <w:proofErr w:type="spellEnd"/>
      <w:r w:rsidR="0087164A" w:rsidRPr="00755626">
        <w:rPr>
          <w:rFonts w:ascii="Times New Roman" w:hAnsi="Times New Roman" w:cs="Times New Roman"/>
        </w:rPr>
        <w:t xml:space="preserve"> </w:t>
      </w:r>
      <w:r w:rsidR="00EE12CD" w:rsidRPr="00755626">
        <w:rPr>
          <w:rFonts w:ascii="Times New Roman" w:hAnsi="Times New Roman" w:cs="Times New Roman"/>
        </w:rPr>
        <w:t>has continued</w:t>
      </w:r>
      <w:r w:rsidR="00EE12CD" w:rsidRPr="00755626">
        <w:rPr>
          <w:rFonts w:ascii="Times New Roman" w:hAnsi="Times New Roman" w:cs="Times New Roman"/>
          <w:i/>
        </w:rPr>
        <w:t xml:space="preserve"> </w:t>
      </w:r>
      <w:r w:rsidR="00EE12CD" w:rsidRPr="00755626">
        <w:rPr>
          <w:rFonts w:ascii="Times New Roman" w:hAnsi="Times New Roman" w:cs="Times New Roman"/>
        </w:rPr>
        <w:t xml:space="preserve">to </w:t>
      </w:r>
      <w:r w:rsidR="00EE12CD" w:rsidRPr="00755626">
        <w:rPr>
          <w:rFonts w:ascii="Times New Roman" w:hAnsi="Times New Roman" w:cs="Times New Roman"/>
          <w:i/>
        </w:rPr>
        <w:t>increase</w:t>
      </w:r>
      <w:r w:rsidR="00EE12CD" w:rsidRPr="00755626">
        <w:rPr>
          <w:rFonts w:ascii="Times New Roman" w:hAnsi="Times New Roman" w:cs="Times New Roman"/>
        </w:rPr>
        <w:t xml:space="preserve"> </w:t>
      </w:r>
      <w:r w:rsidR="009205D8" w:rsidRPr="00755626">
        <w:rPr>
          <w:rFonts w:ascii="Times New Roman" w:hAnsi="Times New Roman" w:cs="Times New Roman"/>
        </w:rPr>
        <w:t xml:space="preserve">its </w:t>
      </w:r>
      <w:r w:rsidR="00EE12CD" w:rsidRPr="00755626">
        <w:rPr>
          <w:rFonts w:ascii="Times New Roman" w:hAnsi="Times New Roman" w:cs="Times New Roman"/>
        </w:rPr>
        <w:t>surplus to an all-time high</w:t>
      </w:r>
      <w:r w:rsidR="009205D8" w:rsidRPr="00755626">
        <w:rPr>
          <w:rFonts w:ascii="Times New Roman" w:hAnsi="Times New Roman" w:cs="Times New Roman"/>
        </w:rPr>
        <w:t xml:space="preserve"> – well above the “efficient” level that </w:t>
      </w:r>
      <w:proofErr w:type="spellStart"/>
      <w:r w:rsidR="009205D8" w:rsidRPr="00755626">
        <w:rPr>
          <w:rFonts w:ascii="Times New Roman" w:hAnsi="Times New Roman" w:cs="Times New Roman"/>
        </w:rPr>
        <w:t>MIEAA</w:t>
      </w:r>
      <w:proofErr w:type="spellEnd"/>
      <w:r w:rsidR="009205D8" w:rsidRPr="00755626">
        <w:rPr>
          <w:rFonts w:ascii="Times New Roman" w:hAnsi="Times New Roman" w:cs="Times New Roman"/>
        </w:rPr>
        <w:t xml:space="preserve"> requires</w:t>
      </w:r>
      <w:r w:rsidR="0087164A" w:rsidRPr="00755626">
        <w:rPr>
          <w:rFonts w:ascii="Times New Roman" w:hAnsi="Times New Roman" w:cs="Times New Roman"/>
        </w:rPr>
        <w:t xml:space="preserve"> be maintained</w:t>
      </w:r>
      <w:r w:rsidR="009205D8" w:rsidRPr="00755626">
        <w:rPr>
          <w:rFonts w:ascii="Times New Roman" w:hAnsi="Times New Roman" w:cs="Times New Roman"/>
        </w:rPr>
        <w:t>, as determined</w:t>
      </w:r>
      <w:r w:rsidR="00EE12CD" w:rsidRPr="00755626">
        <w:rPr>
          <w:rFonts w:ascii="Times New Roman" w:hAnsi="Times New Roman" w:cs="Times New Roman"/>
        </w:rPr>
        <w:t xml:space="preserve"> by </w:t>
      </w:r>
      <w:r w:rsidR="008642A7" w:rsidRPr="00755626">
        <w:rPr>
          <w:rFonts w:ascii="Times New Roman" w:hAnsi="Times New Roman" w:cs="Times New Roman"/>
        </w:rPr>
        <w:t>the Commissioner in</w:t>
      </w:r>
      <w:r w:rsidR="000E1DC1" w:rsidRPr="00755626">
        <w:rPr>
          <w:rFonts w:ascii="Times New Roman" w:hAnsi="Times New Roman" w:cs="Times New Roman"/>
        </w:rPr>
        <w:t xml:space="preserve"> </w:t>
      </w:r>
      <w:r w:rsidR="00100710" w:rsidRPr="00755626">
        <w:rPr>
          <w:rFonts w:ascii="Times New Roman" w:hAnsi="Times New Roman" w:cs="Times New Roman"/>
        </w:rPr>
        <w:t xml:space="preserve">his </w:t>
      </w:r>
      <w:r w:rsidR="00E64512" w:rsidRPr="00755626">
        <w:rPr>
          <w:rFonts w:ascii="Times New Roman" w:hAnsi="Times New Roman" w:cs="Times New Roman"/>
        </w:rPr>
        <w:t>December</w:t>
      </w:r>
      <w:r w:rsidR="000E1DC1" w:rsidRPr="00755626">
        <w:rPr>
          <w:rFonts w:ascii="Times New Roman" w:hAnsi="Times New Roman" w:cs="Times New Roman"/>
        </w:rPr>
        <w:t xml:space="preserve"> 2014 </w:t>
      </w:r>
      <w:r w:rsidR="00E64512" w:rsidRPr="00755626">
        <w:rPr>
          <w:rFonts w:ascii="Times New Roman" w:hAnsi="Times New Roman" w:cs="Times New Roman"/>
        </w:rPr>
        <w:t>decision</w:t>
      </w:r>
      <w:r w:rsidR="00100710" w:rsidRPr="00755626">
        <w:rPr>
          <w:rFonts w:ascii="Times New Roman" w:hAnsi="Times New Roman" w:cs="Times New Roman"/>
        </w:rPr>
        <w:t xml:space="preserve">, </w:t>
      </w:r>
      <w:r w:rsidR="008642A7" w:rsidRPr="00755626">
        <w:rPr>
          <w:rFonts w:ascii="Times New Roman" w:hAnsi="Times New Roman" w:cs="Times New Roman"/>
        </w:rPr>
        <w:t>and subsequently affirmed by the Court</w:t>
      </w:r>
      <w:r w:rsidR="0087164A" w:rsidRPr="00755626">
        <w:rPr>
          <w:rFonts w:ascii="Times New Roman" w:hAnsi="Times New Roman" w:cs="Times New Roman"/>
        </w:rPr>
        <w:t xml:space="preserve"> of Appeals</w:t>
      </w:r>
      <w:r w:rsidR="008642A7" w:rsidRPr="00755626">
        <w:rPr>
          <w:rFonts w:ascii="Times New Roman" w:hAnsi="Times New Roman" w:cs="Times New Roman"/>
        </w:rPr>
        <w:t>.</w:t>
      </w:r>
    </w:p>
    <w:p w:rsidR="000E1DC1" w:rsidRPr="00755626" w:rsidRDefault="008642A7" w:rsidP="008D3EDB">
      <w:pPr>
        <w:spacing w:after="240"/>
        <w:ind w:firstLine="720"/>
        <w:jc w:val="both"/>
        <w:rPr>
          <w:rFonts w:ascii="Times New Roman" w:hAnsi="Times New Roman" w:cs="Times New Roman"/>
        </w:rPr>
      </w:pPr>
      <w:r w:rsidRPr="00755626">
        <w:rPr>
          <w:rFonts w:ascii="Times New Roman" w:hAnsi="Times New Roman" w:cs="Times New Roman"/>
        </w:rPr>
        <w:t>In that</w:t>
      </w:r>
      <w:r w:rsidR="00122C0C">
        <w:rPr>
          <w:rFonts w:ascii="Times New Roman" w:hAnsi="Times New Roman" w:cs="Times New Roman"/>
        </w:rPr>
        <w:t xml:space="preserve"> December 2014</w:t>
      </w:r>
      <w:r w:rsidRPr="00755626">
        <w:rPr>
          <w:rFonts w:ascii="Times New Roman" w:hAnsi="Times New Roman" w:cs="Times New Roman"/>
        </w:rPr>
        <w:t xml:space="preserve"> decision, </w:t>
      </w:r>
      <w:r w:rsidR="00100710" w:rsidRPr="00755626">
        <w:rPr>
          <w:rFonts w:ascii="Times New Roman" w:hAnsi="Times New Roman" w:cs="Times New Roman"/>
        </w:rPr>
        <w:t>the Commissioner</w:t>
      </w:r>
      <w:r w:rsidR="000E1DC1" w:rsidRPr="00755626">
        <w:rPr>
          <w:rFonts w:ascii="Times New Roman" w:hAnsi="Times New Roman" w:cs="Times New Roman"/>
        </w:rPr>
        <w:t xml:space="preserve"> </w:t>
      </w:r>
      <w:r w:rsidR="0087164A" w:rsidRPr="00755626">
        <w:rPr>
          <w:rFonts w:ascii="Times New Roman" w:hAnsi="Times New Roman" w:cs="Times New Roman"/>
        </w:rPr>
        <w:t xml:space="preserve">calculated </w:t>
      </w:r>
      <w:r w:rsidR="000E1DC1" w:rsidRPr="00755626">
        <w:rPr>
          <w:rFonts w:ascii="Times New Roman" w:hAnsi="Times New Roman" w:cs="Times New Roman"/>
        </w:rPr>
        <w:t xml:space="preserve">that </w:t>
      </w:r>
      <w:proofErr w:type="spellStart"/>
      <w:r w:rsidR="000E1DC1" w:rsidRPr="00755626">
        <w:rPr>
          <w:rFonts w:ascii="Times New Roman" w:hAnsi="Times New Roman" w:cs="Times New Roman"/>
        </w:rPr>
        <w:t>GHMSI</w:t>
      </w:r>
      <w:proofErr w:type="spellEnd"/>
      <w:r w:rsidR="000E1DC1" w:rsidRPr="00755626">
        <w:rPr>
          <w:rFonts w:ascii="Times New Roman" w:hAnsi="Times New Roman" w:cs="Times New Roman"/>
        </w:rPr>
        <w:t xml:space="preserve"> ha</w:t>
      </w:r>
      <w:r w:rsidR="00195558" w:rsidRPr="00755626">
        <w:rPr>
          <w:rFonts w:ascii="Times New Roman" w:hAnsi="Times New Roman" w:cs="Times New Roman"/>
        </w:rPr>
        <w:t>d</w:t>
      </w:r>
      <w:r w:rsidR="000E1DC1" w:rsidRPr="00755626">
        <w:rPr>
          <w:rFonts w:ascii="Times New Roman" w:hAnsi="Times New Roman" w:cs="Times New Roman"/>
        </w:rPr>
        <w:t xml:space="preserve"> excessive </w:t>
      </w:r>
      <w:r w:rsidR="00E64512" w:rsidRPr="00755626">
        <w:rPr>
          <w:rFonts w:ascii="Times New Roman" w:hAnsi="Times New Roman" w:cs="Times New Roman"/>
        </w:rPr>
        <w:t>surplus</w:t>
      </w:r>
      <w:r w:rsidR="000E1DC1" w:rsidRPr="00755626">
        <w:rPr>
          <w:rFonts w:ascii="Times New Roman" w:hAnsi="Times New Roman" w:cs="Times New Roman"/>
        </w:rPr>
        <w:t xml:space="preserve"> of $268 million based on </w:t>
      </w:r>
      <w:proofErr w:type="spellStart"/>
      <w:r w:rsidR="000E1DC1" w:rsidRPr="00755626">
        <w:rPr>
          <w:rFonts w:ascii="Times New Roman" w:hAnsi="Times New Roman" w:cs="Times New Roman"/>
        </w:rPr>
        <w:t>GHMSI’s</w:t>
      </w:r>
      <w:proofErr w:type="spellEnd"/>
      <w:r w:rsidR="000E1DC1" w:rsidRPr="00755626">
        <w:rPr>
          <w:rFonts w:ascii="Times New Roman" w:hAnsi="Times New Roman" w:cs="Times New Roman"/>
        </w:rPr>
        <w:t xml:space="preserve"> own </w:t>
      </w:r>
      <w:r w:rsidR="00E64512" w:rsidRPr="00755626">
        <w:rPr>
          <w:rFonts w:ascii="Times New Roman" w:hAnsi="Times New Roman" w:cs="Times New Roman"/>
        </w:rPr>
        <w:t>statistical</w:t>
      </w:r>
      <w:r w:rsidR="000E1DC1" w:rsidRPr="00755626">
        <w:rPr>
          <w:rFonts w:ascii="Times New Roman" w:hAnsi="Times New Roman" w:cs="Times New Roman"/>
        </w:rPr>
        <w:t xml:space="preserve"> model and</w:t>
      </w:r>
      <w:r w:rsidR="00561F14" w:rsidRPr="00755626">
        <w:rPr>
          <w:rFonts w:ascii="Times New Roman" w:hAnsi="Times New Roman" w:cs="Times New Roman"/>
        </w:rPr>
        <w:t xml:space="preserve"> </w:t>
      </w:r>
      <w:r w:rsidR="000E1DC1" w:rsidRPr="00755626">
        <w:rPr>
          <w:rFonts w:ascii="Times New Roman" w:hAnsi="Times New Roman" w:cs="Times New Roman"/>
        </w:rPr>
        <w:t>co</w:t>
      </w:r>
      <w:r w:rsidR="00E64512" w:rsidRPr="00755626">
        <w:rPr>
          <w:rFonts w:ascii="Times New Roman" w:hAnsi="Times New Roman" w:cs="Times New Roman"/>
        </w:rPr>
        <w:t>nclu</w:t>
      </w:r>
      <w:r w:rsidR="00364C77">
        <w:rPr>
          <w:rFonts w:ascii="Times New Roman" w:hAnsi="Times New Roman" w:cs="Times New Roman"/>
        </w:rPr>
        <w:t>ded</w:t>
      </w:r>
      <w:r w:rsidR="000E1DC1" w:rsidRPr="00755626">
        <w:rPr>
          <w:rFonts w:ascii="Times New Roman" w:hAnsi="Times New Roman" w:cs="Times New Roman"/>
        </w:rPr>
        <w:t xml:space="preserve"> that </w:t>
      </w:r>
      <w:r w:rsidR="00561F14" w:rsidRPr="00755626">
        <w:rPr>
          <w:rFonts w:ascii="Times New Roman" w:hAnsi="Times New Roman" w:cs="Times New Roman"/>
        </w:rPr>
        <w:t xml:space="preserve">721% was the </w:t>
      </w:r>
      <w:r w:rsidR="000E1DC1" w:rsidRPr="00755626">
        <w:rPr>
          <w:rFonts w:ascii="Times New Roman" w:hAnsi="Times New Roman" w:cs="Times New Roman"/>
        </w:rPr>
        <w:t xml:space="preserve">maximum </w:t>
      </w:r>
      <w:r w:rsidR="00B148BD" w:rsidRPr="00755626">
        <w:rPr>
          <w:rFonts w:ascii="Times New Roman" w:hAnsi="Times New Roman" w:cs="Times New Roman"/>
        </w:rPr>
        <w:t>risk-based capital (</w:t>
      </w:r>
      <w:r w:rsidR="000E1DC1" w:rsidRPr="00755626">
        <w:rPr>
          <w:rFonts w:ascii="Times New Roman" w:hAnsi="Times New Roman" w:cs="Times New Roman"/>
        </w:rPr>
        <w:t>RBC</w:t>
      </w:r>
      <w:r w:rsidR="00B148BD" w:rsidRPr="00755626">
        <w:rPr>
          <w:rFonts w:ascii="Times New Roman" w:hAnsi="Times New Roman" w:cs="Times New Roman"/>
        </w:rPr>
        <w:t>)</w:t>
      </w:r>
      <w:r w:rsidR="000E1DC1" w:rsidRPr="00755626">
        <w:rPr>
          <w:rFonts w:ascii="Times New Roman" w:hAnsi="Times New Roman" w:cs="Times New Roman"/>
        </w:rPr>
        <w:t xml:space="preserve"> </w:t>
      </w:r>
      <w:r w:rsidR="003A3051" w:rsidRPr="00755626">
        <w:rPr>
          <w:rFonts w:ascii="Times New Roman" w:hAnsi="Times New Roman" w:cs="Times New Roman"/>
        </w:rPr>
        <w:t>ratio</w:t>
      </w:r>
      <w:r w:rsidR="000E1DC1" w:rsidRPr="00755626">
        <w:rPr>
          <w:rFonts w:ascii="Times New Roman" w:hAnsi="Times New Roman" w:cs="Times New Roman"/>
        </w:rPr>
        <w:t xml:space="preserve"> </w:t>
      </w:r>
      <w:r w:rsidR="00561F14" w:rsidRPr="00755626">
        <w:rPr>
          <w:rFonts w:ascii="Times New Roman" w:hAnsi="Times New Roman" w:cs="Times New Roman"/>
        </w:rPr>
        <w:t xml:space="preserve">that </w:t>
      </w:r>
      <w:proofErr w:type="spellStart"/>
      <w:r w:rsidR="00561F14" w:rsidRPr="00755626">
        <w:rPr>
          <w:rFonts w:ascii="Times New Roman" w:hAnsi="Times New Roman" w:cs="Times New Roman"/>
        </w:rPr>
        <w:t>GHMSI</w:t>
      </w:r>
      <w:proofErr w:type="spellEnd"/>
      <w:r w:rsidR="00561F14" w:rsidRPr="00755626">
        <w:rPr>
          <w:rFonts w:ascii="Times New Roman" w:hAnsi="Times New Roman" w:cs="Times New Roman"/>
        </w:rPr>
        <w:t xml:space="preserve"> was permitted</w:t>
      </w:r>
      <w:r w:rsidR="000E1DC1" w:rsidRPr="00755626">
        <w:rPr>
          <w:rFonts w:ascii="Times New Roman" w:hAnsi="Times New Roman" w:cs="Times New Roman"/>
        </w:rPr>
        <w:t xml:space="preserve">. </w:t>
      </w:r>
      <w:r w:rsidR="00794038" w:rsidRPr="00755626">
        <w:rPr>
          <w:rFonts w:ascii="Times New Roman" w:hAnsi="Times New Roman" w:cs="Times New Roman"/>
        </w:rPr>
        <w:t>At that time</w:t>
      </w:r>
      <w:r w:rsidR="00561F14" w:rsidRPr="00755626">
        <w:rPr>
          <w:rFonts w:ascii="Times New Roman" w:hAnsi="Times New Roman" w:cs="Times New Roman"/>
        </w:rPr>
        <w:t>,</w:t>
      </w:r>
      <w:r w:rsidR="00794038" w:rsidRPr="00755626">
        <w:rPr>
          <w:rFonts w:ascii="Times New Roman" w:hAnsi="Times New Roman" w:cs="Times New Roman"/>
        </w:rPr>
        <w:t xml:space="preserve"> </w:t>
      </w:r>
      <w:proofErr w:type="spellStart"/>
      <w:r w:rsidR="00794038" w:rsidRPr="00755626">
        <w:rPr>
          <w:rFonts w:ascii="Times New Roman" w:hAnsi="Times New Roman" w:cs="Times New Roman"/>
        </w:rPr>
        <w:t>GHMSI’s</w:t>
      </w:r>
      <w:proofErr w:type="spellEnd"/>
      <w:r w:rsidR="00794038" w:rsidRPr="00755626">
        <w:rPr>
          <w:rFonts w:ascii="Times New Roman" w:hAnsi="Times New Roman" w:cs="Times New Roman"/>
        </w:rPr>
        <w:t xml:space="preserve"> </w:t>
      </w:r>
      <w:r w:rsidR="00B148BD" w:rsidRPr="00755626">
        <w:rPr>
          <w:rFonts w:ascii="Times New Roman" w:hAnsi="Times New Roman" w:cs="Times New Roman"/>
        </w:rPr>
        <w:t xml:space="preserve">RBC </w:t>
      </w:r>
      <w:r w:rsidR="003A3051" w:rsidRPr="00755626">
        <w:rPr>
          <w:rFonts w:ascii="Times New Roman" w:hAnsi="Times New Roman" w:cs="Times New Roman"/>
        </w:rPr>
        <w:t xml:space="preserve">ratio </w:t>
      </w:r>
      <w:r w:rsidR="00794038" w:rsidRPr="00755626">
        <w:rPr>
          <w:rFonts w:ascii="Times New Roman" w:hAnsi="Times New Roman" w:cs="Times New Roman"/>
        </w:rPr>
        <w:t>was 99</w:t>
      </w:r>
      <w:r w:rsidR="00794038" w:rsidRPr="00122C0C">
        <w:rPr>
          <w:rFonts w:ascii="Times New Roman" w:hAnsi="Times New Roman" w:cs="Times New Roman"/>
        </w:rPr>
        <w:t>8</w:t>
      </w:r>
      <w:r w:rsidR="003A3051" w:rsidRPr="00122C0C">
        <w:rPr>
          <w:rFonts w:ascii="Times New Roman" w:hAnsi="Times New Roman" w:cs="Times New Roman"/>
        </w:rPr>
        <w:t>%</w:t>
      </w:r>
      <w:r w:rsidR="00561F14" w:rsidRPr="00122C0C">
        <w:rPr>
          <w:rFonts w:ascii="Times New Roman" w:hAnsi="Times New Roman" w:cs="Times New Roman"/>
        </w:rPr>
        <w:t>, significantly in excess of that maximum,</w:t>
      </w:r>
      <w:r w:rsidR="00794038" w:rsidRPr="00122C0C">
        <w:rPr>
          <w:rFonts w:ascii="Times New Roman" w:hAnsi="Times New Roman" w:cs="Times New Roman"/>
        </w:rPr>
        <w:t xml:space="preserve"> and its surplus was $963.5 million.</w:t>
      </w:r>
      <w:r w:rsidR="008B10FF" w:rsidRPr="00122C0C">
        <w:rPr>
          <w:rFonts w:ascii="Times New Roman" w:hAnsi="Times New Roman" w:cs="Times New Roman"/>
        </w:rPr>
        <w:t xml:space="preserve"> Decision and Order at 1, </w:t>
      </w:r>
      <w:r w:rsidR="008B10FF" w:rsidRPr="00122C0C">
        <w:rPr>
          <w:rFonts w:ascii="Times New Roman" w:hAnsi="Times New Roman" w:cs="Times New Roman"/>
          <w:i/>
        </w:rPr>
        <w:t>In re Surplus Review and Determination for Group Hospitalization and Medical Services, Inc.</w:t>
      </w:r>
      <w:r w:rsidR="008B10FF" w:rsidRPr="00122C0C">
        <w:rPr>
          <w:rFonts w:ascii="Times New Roman" w:hAnsi="Times New Roman" w:cs="Times New Roman"/>
        </w:rPr>
        <w:t>, No. 14-MIE-26 (Dep’t of Ins., Sec. &amp; Banking, Dec. 30, 2014)</w:t>
      </w:r>
      <w:r w:rsidR="00E83B13" w:rsidRPr="00122C0C">
        <w:rPr>
          <w:rFonts w:ascii="Times New Roman" w:hAnsi="Times New Roman" w:cs="Times New Roman"/>
        </w:rPr>
        <w:t xml:space="preserve"> [hereinafter 2014 Decision]</w:t>
      </w:r>
      <w:r w:rsidR="008B10FF" w:rsidRPr="00122C0C">
        <w:rPr>
          <w:rFonts w:ascii="Times New Roman" w:hAnsi="Times New Roman" w:cs="Times New Roman"/>
        </w:rPr>
        <w:t>.</w:t>
      </w:r>
    </w:p>
    <w:p w:rsidR="000215AB" w:rsidRPr="00755626" w:rsidRDefault="008A3E20" w:rsidP="008D3EDB">
      <w:pPr>
        <w:spacing w:after="240"/>
        <w:ind w:firstLine="720"/>
        <w:jc w:val="both"/>
      </w:pPr>
      <w:r w:rsidRPr="00755626">
        <w:rPr>
          <w:rFonts w:ascii="Times New Roman" w:hAnsi="Times New Roman" w:cs="Times New Roman"/>
        </w:rPr>
        <w:t>Several</w:t>
      </w:r>
      <w:r w:rsidR="00EC3037" w:rsidRPr="00755626">
        <w:rPr>
          <w:rFonts w:ascii="Times New Roman" w:hAnsi="Times New Roman" w:cs="Times New Roman"/>
        </w:rPr>
        <w:t xml:space="preserve"> developments </w:t>
      </w:r>
      <w:r w:rsidR="008642A7" w:rsidRPr="00755626">
        <w:rPr>
          <w:rFonts w:ascii="Times New Roman" w:hAnsi="Times New Roman" w:cs="Times New Roman"/>
        </w:rPr>
        <w:t xml:space="preserve">subsequent to the Commissioner’s December 2014 decision </w:t>
      </w:r>
      <w:r w:rsidR="00EC3037" w:rsidRPr="00755626">
        <w:rPr>
          <w:rFonts w:ascii="Times New Roman" w:hAnsi="Times New Roman" w:cs="Times New Roman"/>
        </w:rPr>
        <w:t xml:space="preserve">highlight </w:t>
      </w:r>
      <w:proofErr w:type="spellStart"/>
      <w:r w:rsidR="00EC3037" w:rsidRPr="00755626">
        <w:rPr>
          <w:rFonts w:ascii="Times New Roman" w:hAnsi="Times New Roman" w:cs="Times New Roman"/>
        </w:rPr>
        <w:t>GHMSI’s</w:t>
      </w:r>
      <w:proofErr w:type="spellEnd"/>
      <w:r w:rsidR="00EC3037" w:rsidRPr="00755626">
        <w:rPr>
          <w:rFonts w:ascii="Times New Roman" w:hAnsi="Times New Roman" w:cs="Times New Roman"/>
        </w:rPr>
        <w:t xml:space="preserve"> </w:t>
      </w:r>
      <w:r w:rsidR="008642A7" w:rsidRPr="00755626">
        <w:rPr>
          <w:rFonts w:ascii="Times New Roman" w:hAnsi="Times New Roman" w:cs="Times New Roman"/>
        </w:rPr>
        <w:t xml:space="preserve">persistent </w:t>
      </w:r>
      <w:r w:rsidR="00EC3037" w:rsidRPr="00755626">
        <w:rPr>
          <w:rFonts w:ascii="Times New Roman" w:hAnsi="Times New Roman" w:cs="Times New Roman"/>
        </w:rPr>
        <w:t xml:space="preserve">failure to comply with </w:t>
      </w:r>
      <w:proofErr w:type="spellStart"/>
      <w:r w:rsidR="00EC3037" w:rsidRPr="00755626">
        <w:rPr>
          <w:rFonts w:ascii="Times New Roman" w:hAnsi="Times New Roman" w:cs="Times New Roman"/>
        </w:rPr>
        <w:t>MIEAA</w:t>
      </w:r>
      <w:proofErr w:type="spellEnd"/>
      <w:r w:rsidR="00EC3037" w:rsidRPr="00755626">
        <w:rPr>
          <w:rFonts w:ascii="Times New Roman" w:hAnsi="Times New Roman" w:cs="Times New Roman"/>
        </w:rPr>
        <w:t>. First</w:t>
      </w:r>
      <w:r w:rsidR="00794038" w:rsidRPr="00755626">
        <w:rPr>
          <w:rFonts w:ascii="Times New Roman" w:hAnsi="Times New Roman" w:cs="Times New Roman"/>
        </w:rPr>
        <w:t>,</w:t>
      </w:r>
      <w:r w:rsidR="000215AB" w:rsidRPr="00755626">
        <w:rPr>
          <w:rFonts w:ascii="Times New Roman" w:hAnsi="Times New Roman" w:cs="Times New Roman"/>
        </w:rPr>
        <w:t xml:space="preserve"> as the Court of </w:t>
      </w:r>
      <w:r w:rsidR="000215AB" w:rsidRPr="00755626">
        <w:t xml:space="preserve">Appeals </w:t>
      </w:r>
      <w:r w:rsidR="008642A7" w:rsidRPr="00755626">
        <w:t>acknowledged</w:t>
      </w:r>
      <w:r w:rsidR="000215AB" w:rsidRPr="00755626">
        <w:t xml:space="preserve">, </w:t>
      </w:r>
      <w:proofErr w:type="spellStart"/>
      <w:r w:rsidR="000215AB" w:rsidRPr="00755626">
        <w:t>DISB’s</w:t>
      </w:r>
      <w:proofErr w:type="spellEnd"/>
      <w:r w:rsidR="000215AB" w:rsidRPr="00755626">
        <w:t xml:space="preserve"> regulations </w:t>
      </w:r>
      <w:r w:rsidR="00700DCE" w:rsidRPr="00755626">
        <w:t xml:space="preserve">require </w:t>
      </w:r>
      <w:proofErr w:type="spellStart"/>
      <w:r w:rsidR="00700DCE" w:rsidRPr="00755626">
        <w:t>GHMSI</w:t>
      </w:r>
      <w:proofErr w:type="spellEnd"/>
      <w:r w:rsidR="000215AB" w:rsidRPr="00755626">
        <w:t xml:space="preserve"> “to file an annual financial report with </w:t>
      </w:r>
      <w:proofErr w:type="spellStart"/>
      <w:r w:rsidR="000215AB" w:rsidRPr="00755626">
        <w:t>DISB</w:t>
      </w:r>
      <w:proofErr w:type="spellEnd"/>
      <w:r w:rsidR="000215AB" w:rsidRPr="00755626">
        <w:t xml:space="preserve"> detailing ‘the company’s surplus and </w:t>
      </w:r>
      <w:proofErr w:type="spellStart"/>
      <w:r w:rsidR="000215AB" w:rsidRPr="00755626">
        <w:t>examin</w:t>
      </w:r>
      <w:proofErr w:type="spellEnd"/>
      <w:r w:rsidR="000215AB" w:rsidRPr="00755626">
        <w:t>[</w:t>
      </w:r>
      <w:proofErr w:type="spellStart"/>
      <w:r w:rsidR="000215AB" w:rsidRPr="00755626">
        <w:t>ing</w:t>
      </w:r>
      <w:proofErr w:type="spellEnd"/>
      <w:r w:rsidR="000215AB" w:rsidRPr="00755626">
        <w:t xml:space="preserve">] </w:t>
      </w:r>
      <w:r w:rsidR="000215AB" w:rsidRPr="00755626">
        <w:rPr>
          <w:i/>
          <w:iCs/>
        </w:rPr>
        <w:t xml:space="preserve">whether the company’s surplus is considered excessive </w:t>
      </w:r>
      <w:r w:rsidR="00700DCE" w:rsidRPr="00755626">
        <w:rPr>
          <w:i/>
          <w:iCs/>
        </w:rPr>
        <w:t>under the</w:t>
      </w:r>
      <w:r w:rsidR="000215AB" w:rsidRPr="00755626">
        <w:rPr>
          <w:i/>
          <w:iCs/>
        </w:rPr>
        <w:t xml:space="preserve"> [</w:t>
      </w:r>
      <w:proofErr w:type="spellStart"/>
      <w:r w:rsidR="000215AB" w:rsidRPr="00755626">
        <w:rPr>
          <w:i/>
          <w:iCs/>
        </w:rPr>
        <w:t>MIEAA</w:t>
      </w:r>
      <w:proofErr w:type="spellEnd"/>
      <w:r w:rsidR="000215AB" w:rsidRPr="00755626">
        <w:t xml:space="preserve">].” </w:t>
      </w:r>
      <w:r w:rsidR="00E83B13" w:rsidRPr="00122C0C">
        <w:rPr>
          <w:rFonts w:cstheme="minorHAnsi"/>
          <w:i/>
        </w:rPr>
        <w:t>D.C. Appleseed Center for Law and Justice, Inc. v. D.C. Department of Insurance, Securities and Banking</w:t>
      </w:r>
      <w:r w:rsidR="00E83B13" w:rsidRPr="00122C0C">
        <w:rPr>
          <w:rFonts w:cstheme="minorHAnsi"/>
        </w:rPr>
        <w:t xml:space="preserve">, 214 </w:t>
      </w:r>
      <w:proofErr w:type="spellStart"/>
      <w:r w:rsidR="00E83B13" w:rsidRPr="00122C0C">
        <w:rPr>
          <w:rFonts w:cstheme="minorHAnsi"/>
        </w:rPr>
        <w:t>A.3d</w:t>
      </w:r>
      <w:proofErr w:type="spellEnd"/>
      <w:r w:rsidR="00E83B13" w:rsidRPr="00122C0C">
        <w:rPr>
          <w:rFonts w:cstheme="minorHAnsi"/>
        </w:rPr>
        <w:t xml:space="preserve"> 978, 984 (D.C. 2019) (quoting D.C. </w:t>
      </w:r>
      <w:proofErr w:type="spellStart"/>
      <w:r w:rsidR="00E83B13" w:rsidRPr="00122C0C">
        <w:rPr>
          <w:rFonts w:cstheme="minorHAnsi"/>
        </w:rPr>
        <w:t>Mun</w:t>
      </w:r>
      <w:proofErr w:type="spellEnd"/>
      <w:r w:rsidR="00E83B13" w:rsidRPr="00122C0C">
        <w:rPr>
          <w:rFonts w:cstheme="minorHAnsi"/>
        </w:rPr>
        <w:t xml:space="preserve">. </w:t>
      </w:r>
      <w:proofErr w:type="spellStart"/>
      <w:r w:rsidR="00E83B13" w:rsidRPr="00122C0C">
        <w:rPr>
          <w:rFonts w:cstheme="minorHAnsi"/>
        </w:rPr>
        <w:t>Regs</w:t>
      </w:r>
      <w:proofErr w:type="spellEnd"/>
      <w:r w:rsidR="00E83B13" w:rsidRPr="00122C0C">
        <w:rPr>
          <w:rFonts w:cstheme="minorHAnsi"/>
        </w:rPr>
        <w:t>. tit. 26 § 4601.1 (2017))</w:t>
      </w:r>
      <w:r w:rsidR="000215AB" w:rsidRPr="00122C0C">
        <w:t xml:space="preserve"> (emphasis added).</w:t>
      </w:r>
      <w:r w:rsidR="007D4667">
        <w:t xml:space="preserve"> </w:t>
      </w:r>
      <w:proofErr w:type="spellStart"/>
      <w:r w:rsidR="0056369A" w:rsidRPr="00755626">
        <w:t>GHMSI’s</w:t>
      </w:r>
      <w:proofErr w:type="spellEnd"/>
      <w:r w:rsidR="0056369A" w:rsidRPr="00755626">
        <w:t xml:space="preserve"> surplus has </w:t>
      </w:r>
      <w:r w:rsidR="00B501F9">
        <w:t>risen further following</w:t>
      </w:r>
      <w:r w:rsidR="0056369A" w:rsidRPr="00755626">
        <w:t xml:space="preserve"> the Commissioner’s 2014 decision: 883% in 2015, </w:t>
      </w:r>
      <w:r w:rsidR="00800088" w:rsidRPr="00755626">
        <w:t>851% in 2016, 1011% in 2017,</w:t>
      </w:r>
      <w:r w:rsidR="0056369A" w:rsidRPr="00755626">
        <w:t xml:space="preserve"> </w:t>
      </w:r>
      <w:r w:rsidR="00800088" w:rsidRPr="00755626">
        <w:t>923% in 2018</w:t>
      </w:r>
      <w:r w:rsidR="002B3C14">
        <w:t>, and 1088% in 2019</w:t>
      </w:r>
      <w:r w:rsidR="00800088" w:rsidRPr="00755626">
        <w:t>.</w:t>
      </w:r>
      <w:r w:rsidR="00800088" w:rsidRPr="00755626">
        <w:rPr>
          <w:rStyle w:val="FootnoteReference"/>
        </w:rPr>
        <w:footnoteReference w:id="5"/>
      </w:r>
    </w:p>
    <w:p w:rsidR="000215AB" w:rsidRPr="00755626" w:rsidRDefault="000215AB" w:rsidP="008D3EDB">
      <w:pPr>
        <w:spacing w:after="240"/>
        <w:ind w:firstLine="720"/>
        <w:jc w:val="both"/>
      </w:pPr>
      <w:proofErr w:type="spellStart"/>
      <w:r w:rsidRPr="00755626">
        <w:t>GHMSI</w:t>
      </w:r>
      <w:proofErr w:type="spellEnd"/>
      <w:r w:rsidRPr="00755626">
        <w:t xml:space="preserve"> </w:t>
      </w:r>
      <w:r w:rsidR="00A31EB4" w:rsidRPr="00755626">
        <w:t xml:space="preserve">thus </w:t>
      </w:r>
      <w:r w:rsidRPr="00755626">
        <w:t>grew its surplus during those years</w:t>
      </w:r>
      <w:r w:rsidR="00F76F07" w:rsidRPr="00755626">
        <w:t xml:space="preserve"> pursuant to calculations that ensured that the surplus was excessive under </w:t>
      </w:r>
      <w:proofErr w:type="spellStart"/>
      <w:r w:rsidR="00F76F07" w:rsidRPr="00755626">
        <w:t>MIEAA</w:t>
      </w:r>
      <w:proofErr w:type="spellEnd"/>
      <w:r w:rsidR="00061593" w:rsidRPr="00755626">
        <w:t>.</w:t>
      </w:r>
      <w:r w:rsidR="007D4667">
        <w:t xml:space="preserve"> </w:t>
      </w:r>
      <w:proofErr w:type="spellStart"/>
      <w:r w:rsidR="00061593" w:rsidRPr="00755626">
        <w:t>GHMSI’s</w:t>
      </w:r>
      <w:proofErr w:type="spellEnd"/>
      <w:r w:rsidR="00061593" w:rsidRPr="00755626">
        <w:t xml:space="preserve"> </w:t>
      </w:r>
      <w:r w:rsidR="00575C41" w:rsidRPr="00755626">
        <w:t>agent</w:t>
      </w:r>
      <w:r w:rsidR="00B1514D" w:rsidRPr="00755626">
        <w:t>,</w:t>
      </w:r>
      <w:r w:rsidR="008642A7" w:rsidRPr="00755626">
        <w:rPr>
          <w:rFonts w:ascii="Times New Roman" w:hAnsi="Times New Roman" w:cs="Times New Roman"/>
        </w:rPr>
        <w:t xml:space="preserve"> </w:t>
      </w:r>
      <w:proofErr w:type="spellStart"/>
      <w:r w:rsidRPr="00755626">
        <w:rPr>
          <w:iCs/>
        </w:rPr>
        <w:t>Milliman</w:t>
      </w:r>
      <w:proofErr w:type="spellEnd"/>
      <w:r w:rsidR="00B1514D" w:rsidRPr="00755626">
        <w:rPr>
          <w:iCs/>
        </w:rPr>
        <w:t>,</w:t>
      </w:r>
      <w:r w:rsidR="00A31EB4" w:rsidRPr="00755626">
        <w:rPr>
          <w:iCs/>
        </w:rPr>
        <w:t xml:space="preserve"> Inc. </w:t>
      </w:r>
      <w:r w:rsidR="00247A3E" w:rsidRPr="00755626">
        <w:t xml:space="preserve">continued to use its </w:t>
      </w:r>
      <w:r w:rsidR="00247A3E" w:rsidRPr="00755626">
        <w:lastRenderedPageBreak/>
        <w:t>own</w:t>
      </w:r>
      <w:r w:rsidR="008642A7" w:rsidRPr="00755626">
        <w:rPr>
          <w:rFonts w:ascii="Times New Roman" w:hAnsi="Times New Roman" w:cs="Times New Roman"/>
        </w:rPr>
        <w:t xml:space="preserve"> – </w:t>
      </w:r>
      <w:r w:rsidR="00247A3E" w:rsidRPr="00755626">
        <w:t xml:space="preserve">and not </w:t>
      </w:r>
      <w:proofErr w:type="spellStart"/>
      <w:r w:rsidR="00247A3E" w:rsidRPr="00755626">
        <w:t>MIEAA’s</w:t>
      </w:r>
      <w:proofErr w:type="spellEnd"/>
      <w:r w:rsidR="008642A7" w:rsidRPr="00755626">
        <w:rPr>
          <w:rFonts w:ascii="Times New Roman" w:hAnsi="Times New Roman" w:cs="Times New Roman"/>
        </w:rPr>
        <w:t xml:space="preserve"> – </w:t>
      </w:r>
      <w:r w:rsidR="00247A3E" w:rsidRPr="00755626">
        <w:t xml:space="preserve">method for assessing surplus, </w:t>
      </w:r>
      <w:r w:rsidR="00F76F07" w:rsidRPr="00755626">
        <w:t xml:space="preserve">so </w:t>
      </w:r>
      <w:proofErr w:type="spellStart"/>
      <w:r w:rsidR="00F76F07" w:rsidRPr="00755626">
        <w:t>GHMSI</w:t>
      </w:r>
      <w:proofErr w:type="spellEnd"/>
      <w:r w:rsidR="00F76F07" w:rsidRPr="00755626">
        <w:t xml:space="preserve"> </w:t>
      </w:r>
      <w:r w:rsidR="00247A3E" w:rsidRPr="00755626">
        <w:t xml:space="preserve">continued to conclude that </w:t>
      </w:r>
      <w:r w:rsidR="00F76F07" w:rsidRPr="00755626">
        <w:t xml:space="preserve">its </w:t>
      </w:r>
      <w:r w:rsidRPr="00755626">
        <w:t>ever-increasing surplus</w:t>
      </w:r>
      <w:r w:rsidR="00247A3E" w:rsidRPr="00755626">
        <w:t xml:space="preserve"> was</w:t>
      </w:r>
      <w:r w:rsidRPr="00755626">
        <w:t xml:space="preserve"> permissible</w:t>
      </w:r>
      <w:r w:rsidR="00247A3E" w:rsidRPr="00755626">
        <w:t xml:space="preserve">. For example, </w:t>
      </w:r>
      <w:proofErr w:type="spellStart"/>
      <w:r w:rsidR="00247A3E" w:rsidRPr="00755626">
        <w:t>Milliman</w:t>
      </w:r>
      <w:proofErr w:type="spellEnd"/>
      <w:r w:rsidR="00247A3E" w:rsidRPr="00755626">
        <w:t xml:space="preserve"> continued to apply</w:t>
      </w:r>
      <w:r w:rsidRPr="00755626">
        <w:t xml:space="preserve"> its own 98% confidence level</w:t>
      </w:r>
      <w:r w:rsidR="00247A3E" w:rsidRPr="00755626">
        <w:t xml:space="preserve"> in assessing </w:t>
      </w:r>
      <w:proofErr w:type="spellStart"/>
      <w:r w:rsidR="00247A3E" w:rsidRPr="00755626">
        <w:t>GHMSI’s</w:t>
      </w:r>
      <w:proofErr w:type="spellEnd"/>
      <w:r w:rsidR="00247A3E" w:rsidRPr="00755626">
        <w:t xml:space="preserve"> requisite surplus</w:t>
      </w:r>
      <w:r w:rsidR="00F76F07" w:rsidRPr="00755626">
        <w:t xml:space="preserve">. But </w:t>
      </w:r>
      <w:r w:rsidR="00247A3E" w:rsidRPr="00755626">
        <w:t xml:space="preserve">the </w:t>
      </w:r>
      <w:r w:rsidR="00C80907" w:rsidRPr="00755626">
        <w:t xml:space="preserve">Commissioner </w:t>
      </w:r>
      <w:r w:rsidR="00F76F07" w:rsidRPr="00755626">
        <w:t xml:space="preserve">had </w:t>
      </w:r>
      <w:r w:rsidR="00C80907" w:rsidRPr="00755626">
        <w:t>determined</w:t>
      </w:r>
      <w:r w:rsidR="00D56AAA" w:rsidRPr="00755626">
        <w:t xml:space="preserve"> that</w:t>
      </w:r>
      <w:r w:rsidR="00247A3E" w:rsidRPr="00755626">
        <w:t xml:space="preserve"> </w:t>
      </w:r>
      <w:proofErr w:type="spellStart"/>
      <w:r w:rsidR="00C80907" w:rsidRPr="00755626">
        <w:t>MIEAA</w:t>
      </w:r>
      <w:proofErr w:type="spellEnd"/>
      <w:r w:rsidR="00C80907" w:rsidRPr="00755626">
        <w:t xml:space="preserve"> requires</w:t>
      </w:r>
      <w:r w:rsidR="00247A3E" w:rsidRPr="00755626">
        <w:t xml:space="preserve"> a</w:t>
      </w:r>
      <w:r w:rsidRPr="00755626">
        <w:t xml:space="preserve"> 95%</w:t>
      </w:r>
      <w:r w:rsidR="00247A3E" w:rsidRPr="00755626">
        <w:t xml:space="preserve"> confidence level</w:t>
      </w:r>
      <w:r w:rsidR="006157D0" w:rsidRPr="00755626">
        <w:t>, which determination the Court of Appeals affirmed</w:t>
      </w:r>
      <w:r w:rsidRPr="00755626">
        <w:t>.</w:t>
      </w:r>
      <w:r w:rsidR="007D4667">
        <w:t xml:space="preserve"> </w:t>
      </w:r>
      <w:r w:rsidR="00544E66" w:rsidRPr="00755626">
        <w:rPr>
          <w:rFonts w:cstheme="minorHAnsi"/>
          <w:i/>
        </w:rPr>
        <w:t xml:space="preserve">D.C. </w:t>
      </w:r>
      <w:r w:rsidR="006F6225" w:rsidRPr="00755626">
        <w:rPr>
          <w:rFonts w:cstheme="minorHAnsi"/>
          <w:i/>
        </w:rPr>
        <w:t>Appleseed,</w:t>
      </w:r>
      <w:r w:rsidR="00544E66" w:rsidRPr="00755626">
        <w:rPr>
          <w:rFonts w:cstheme="minorHAnsi"/>
        </w:rPr>
        <w:t xml:space="preserve"> 214 </w:t>
      </w:r>
      <w:proofErr w:type="spellStart"/>
      <w:r w:rsidR="00544E66" w:rsidRPr="00755626">
        <w:rPr>
          <w:rFonts w:cstheme="minorHAnsi"/>
        </w:rPr>
        <w:t>A.3d</w:t>
      </w:r>
      <w:proofErr w:type="spellEnd"/>
      <w:r w:rsidR="00544E66" w:rsidRPr="00755626">
        <w:rPr>
          <w:rFonts w:cstheme="minorHAnsi"/>
        </w:rPr>
        <w:t xml:space="preserve"> </w:t>
      </w:r>
      <w:r w:rsidR="00122C0C">
        <w:rPr>
          <w:rFonts w:cstheme="minorHAnsi"/>
        </w:rPr>
        <w:t>at</w:t>
      </w:r>
      <w:r w:rsidR="00544E66" w:rsidRPr="00755626">
        <w:rPr>
          <w:rFonts w:cstheme="minorHAnsi"/>
        </w:rPr>
        <w:t xml:space="preserve"> 990</w:t>
      </w:r>
      <w:r w:rsidR="00127A14" w:rsidRPr="00755626">
        <w:rPr>
          <w:rFonts w:cstheme="minorHAnsi"/>
        </w:rPr>
        <w:t>–92.</w:t>
      </w:r>
      <w:r w:rsidR="007D4667">
        <w:t xml:space="preserve"> </w:t>
      </w:r>
      <w:r w:rsidR="0083209A" w:rsidRPr="00755626">
        <w:t>The 95% confidence level is now final.</w:t>
      </w:r>
    </w:p>
    <w:p w:rsidR="00794038" w:rsidRPr="00755626" w:rsidRDefault="000215AB" w:rsidP="008D3EDB">
      <w:pPr>
        <w:spacing w:after="240"/>
        <w:ind w:firstLine="720"/>
        <w:jc w:val="both"/>
        <w:rPr>
          <w:rFonts w:ascii="Times New Roman" w:hAnsi="Times New Roman" w:cs="Times New Roman"/>
        </w:rPr>
      </w:pPr>
      <w:r w:rsidRPr="00755626">
        <w:rPr>
          <w:rFonts w:ascii="Times New Roman" w:hAnsi="Times New Roman" w:cs="Times New Roman"/>
        </w:rPr>
        <w:t xml:space="preserve">Second, </w:t>
      </w:r>
      <w:r w:rsidR="00794038" w:rsidRPr="00755626">
        <w:rPr>
          <w:rFonts w:ascii="Times New Roman" w:hAnsi="Times New Roman" w:cs="Times New Roman"/>
        </w:rPr>
        <w:t xml:space="preserve">in his </w:t>
      </w:r>
      <w:r w:rsidR="00454001" w:rsidRPr="00755626">
        <w:rPr>
          <w:rFonts w:ascii="Times New Roman" w:hAnsi="Times New Roman" w:cs="Times New Roman"/>
        </w:rPr>
        <w:t>2017 proposed</w:t>
      </w:r>
      <w:r w:rsidR="00794038" w:rsidRPr="00755626">
        <w:rPr>
          <w:rFonts w:ascii="Times New Roman" w:hAnsi="Times New Roman" w:cs="Times New Roman"/>
        </w:rPr>
        <w:t xml:space="preserve"> settle</w:t>
      </w:r>
      <w:r w:rsidR="00E64512" w:rsidRPr="00755626">
        <w:rPr>
          <w:rFonts w:ascii="Times New Roman" w:hAnsi="Times New Roman" w:cs="Times New Roman"/>
        </w:rPr>
        <w:t xml:space="preserve">ment </w:t>
      </w:r>
      <w:r w:rsidR="00794038" w:rsidRPr="00755626">
        <w:rPr>
          <w:rFonts w:ascii="Times New Roman" w:hAnsi="Times New Roman" w:cs="Times New Roman"/>
        </w:rPr>
        <w:t xml:space="preserve">and </w:t>
      </w:r>
      <w:r w:rsidR="00E64512" w:rsidRPr="00755626">
        <w:rPr>
          <w:rFonts w:ascii="Times New Roman" w:hAnsi="Times New Roman" w:cs="Times New Roman"/>
        </w:rPr>
        <w:t>consent</w:t>
      </w:r>
      <w:r w:rsidR="00794038" w:rsidRPr="00755626">
        <w:rPr>
          <w:rFonts w:ascii="Times New Roman" w:hAnsi="Times New Roman" w:cs="Times New Roman"/>
        </w:rPr>
        <w:t xml:space="preserve"> order</w:t>
      </w:r>
      <w:r w:rsidR="00247A3E" w:rsidRPr="00755626">
        <w:rPr>
          <w:rFonts w:ascii="Times New Roman" w:hAnsi="Times New Roman" w:cs="Times New Roman"/>
        </w:rPr>
        <w:t xml:space="preserve"> on </w:t>
      </w:r>
      <w:proofErr w:type="spellStart"/>
      <w:r w:rsidR="00247A3E" w:rsidRPr="00755626">
        <w:rPr>
          <w:rFonts w:ascii="Times New Roman" w:hAnsi="Times New Roman" w:cs="Times New Roman"/>
        </w:rPr>
        <w:t>GHMSI’s</w:t>
      </w:r>
      <w:proofErr w:type="spellEnd"/>
      <w:r w:rsidR="00247A3E" w:rsidRPr="00755626">
        <w:rPr>
          <w:rFonts w:ascii="Times New Roman" w:hAnsi="Times New Roman" w:cs="Times New Roman"/>
        </w:rPr>
        <w:t xml:space="preserve"> surplus</w:t>
      </w:r>
      <w:r w:rsidR="00DF6405" w:rsidRPr="00755626">
        <w:rPr>
          <w:rFonts w:ascii="Times New Roman" w:hAnsi="Times New Roman" w:cs="Times New Roman"/>
        </w:rPr>
        <w:t>,</w:t>
      </w:r>
      <w:r w:rsidR="00794038" w:rsidRPr="00755626">
        <w:rPr>
          <w:rFonts w:ascii="Times New Roman" w:hAnsi="Times New Roman" w:cs="Times New Roman"/>
        </w:rPr>
        <w:t xml:space="preserve"> </w:t>
      </w:r>
      <w:r w:rsidR="008642A7" w:rsidRPr="00755626">
        <w:rPr>
          <w:rFonts w:ascii="Times New Roman" w:hAnsi="Times New Roman" w:cs="Times New Roman"/>
        </w:rPr>
        <w:t xml:space="preserve">the Commissioner made clear </w:t>
      </w:r>
      <w:r w:rsidR="002E64E3" w:rsidRPr="00755626">
        <w:rPr>
          <w:rFonts w:ascii="Times New Roman" w:hAnsi="Times New Roman" w:cs="Times New Roman"/>
        </w:rPr>
        <w:t xml:space="preserve">that he considered the 721% </w:t>
      </w:r>
      <w:r w:rsidR="00F76F07" w:rsidRPr="00755626">
        <w:rPr>
          <w:rFonts w:ascii="Times New Roman" w:hAnsi="Times New Roman" w:cs="Times New Roman"/>
        </w:rPr>
        <w:t xml:space="preserve">RBC ratio </w:t>
      </w:r>
      <w:r w:rsidR="002E64E3" w:rsidRPr="00755626">
        <w:rPr>
          <w:rFonts w:ascii="Times New Roman" w:hAnsi="Times New Roman" w:cs="Times New Roman"/>
        </w:rPr>
        <w:t xml:space="preserve">established in the December 2014 decision </w:t>
      </w:r>
      <w:r w:rsidR="002E64E3" w:rsidRPr="00755626">
        <w:rPr>
          <w:rFonts w:ascii="Times New Roman" w:hAnsi="Times New Roman" w:cs="Times New Roman"/>
          <w:i/>
        </w:rPr>
        <w:t>to be controlling</w:t>
      </w:r>
      <w:r w:rsidR="002E64E3" w:rsidRPr="00755626">
        <w:rPr>
          <w:rFonts w:ascii="Times New Roman" w:hAnsi="Times New Roman" w:cs="Times New Roman"/>
        </w:rPr>
        <w:t>.</w:t>
      </w:r>
      <w:r w:rsidR="007D4667">
        <w:rPr>
          <w:rFonts w:ascii="Times New Roman" w:hAnsi="Times New Roman" w:cs="Times New Roman"/>
        </w:rPr>
        <w:t xml:space="preserve"> </w:t>
      </w:r>
      <w:r w:rsidR="00531023" w:rsidRPr="00755626">
        <w:rPr>
          <w:rFonts w:ascii="Times New Roman" w:hAnsi="Times New Roman" w:cs="Times New Roman"/>
          <w:i/>
        </w:rPr>
        <w:t>See</w:t>
      </w:r>
      <w:r w:rsidR="00531023" w:rsidRPr="00755626">
        <w:rPr>
          <w:rFonts w:ascii="Times New Roman" w:hAnsi="Times New Roman" w:cs="Times New Roman"/>
        </w:rPr>
        <w:t xml:space="preserve"> Decision and Order on </w:t>
      </w:r>
      <w:proofErr w:type="spellStart"/>
      <w:r w:rsidR="00531023" w:rsidRPr="00755626">
        <w:rPr>
          <w:rFonts w:ascii="Times New Roman" w:hAnsi="Times New Roman" w:cs="Times New Roman"/>
        </w:rPr>
        <w:t>GHMSI</w:t>
      </w:r>
      <w:proofErr w:type="spellEnd"/>
      <w:r w:rsidR="00531023" w:rsidRPr="00755626">
        <w:rPr>
          <w:rFonts w:ascii="Times New Roman" w:hAnsi="Times New Roman" w:cs="Times New Roman"/>
        </w:rPr>
        <w:t xml:space="preserve"> Motion to Approved Proposed Consent Order at 9, </w:t>
      </w:r>
      <w:r w:rsidR="00531023" w:rsidRPr="00755626">
        <w:rPr>
          <w:rFonts w:ascii="Times New Roman" w:hAnsi="Times New Roman" w:cs="Times New Roman"/>
          <w:i/>
        </w:rPr>
        <w:t>In re Surplus Review and Determination for Group Hospitalization and Medical Services, Inc.</w:t>
      </w:r>
      <w:r w:rsidR="00531023" w:rsidRPr="00755626">
        <w:rPr>
          <w:rFonts w:ascii="Times New Roman" w:hAnsi="Times New Roman" w:cs="Times New Roman"/>
        </w:rPr>
        <w:t>, No. 14-MIE-26 (Dep’t of Ins., Sec. &amp; Banking, Aug. 3, 2017).</w:t>
      </w:r>
      <w:r w:rsidR="00794038" w:rsidRPr="00755626">
        <w:rPr>
          <w:rFonts w:ascii="Times New Roman" w:hAnsi="Times New Roman" w:cs="Times New Roman"/>
        </w:rPr>
        <w:t xml:space="preserve"> </w:t>
      </w:r>
      <w:r w:rsidR="00474EE5" w:rsidRPr="00755626">
        <w:rPr>
          <w:rFonts w:ascii="Times New Roman" w:hAnsi="Times New Roman" w:cs="Times New Roman"/>
        </w:rPr>
        <w:t>T</w:t>
      </w:r>
      <w:r w:rsidR="00794038" w:rsidRPr="00755626">
        <w:rPr>
          <w:rFonts w:ascii="Times New Roman" w:hAnsi="Times New Roman" w:cs="Times New Roman"/>
        </w:rPr>
        <w:t>he</w:t>
      </w:r>
      <w:r w:rsidR="00247A3E" w:rsidRPr="00755626">
        <w:rPr>
          <w:rFonts w:ascii="Times New Roman" w:hAnsi="Times New Roman" w:cs="Times New Roman"/>
        </w:rPr>
        <w:t xml:space="preserve"> Commissioner</w:t>
      </w:r>
      <w:r w:rsidR="00794038" w:rsidRPr="00755626">
        <w:rPr>
          <w:rFonts w:ascii="Times New Roman" w:hAnsi="Times New Roman" w:cs="Times New Roman"/>
        </w:rPr>
        <w:t xml:space="preserve"> provided that if </w:t>
      </w:r>
      <w:proofErr w:type="spellStart"/>
      <w:r w:rsidR="00794038" w:rsidRPr="00755626">
        <w:rPr>
          <w:rFonts w:ascii="Times New Roman" w:hAnsi="Times New Roman" w:cs="Times New Roman"/>
        </w:rPr>
        <w:t>GHMS</w:t>
      </w:r>
      <w:r w:rsidR="00EE12CD" w:rsidRPr="00755626">
        <w:rPr>
          <w:rFonts w:ascii="Times New Roman" w:hAnsi="Times New Roman" w:cs="Times New Roman"/>
        </w:rPr>
        <w:t>I</w:t>
      </w:r>
      <w:r w:rsidR="00794038" w:rsidRPr="00755626">
        <w:rPr>
          <w:rFonts w:ascii="Times New Roman" w:hAnsi="Times New Roman" w:cs="Times New Roman"/>
        </w:rPr>
        <w:t>’s</w:t>
      </w:r>
      <w:proofErr w:type="spellEnd"/>
      <w:r w:rsidR="00794038" w:rsidRPr="00755626">
        <w:rPr>
          <w:rFonts w:ascii="Times New Roman" w:hAnsi="Times New Roman" w:cs="Times New Roman"/>
        </w:rPr>
        <w:t xml:space="preserve"> </w:t>
      </w:r>
      <w:r w:rsidR="003A3051" w:rsidRPr="00755626">
        <w:rPr>
          <w:rFonts w:ascii="Times New Roman" w:hAnsi="Times New Roman" w:cs="Times New Roman"/>
        </w:rPr>
        <w:t xml:space="preserve">RBC ratio </w:t>
      </w:r>
      <w:r w:rsidR="00794038" w:rsidRPr="00755626">
        <w:rPr>
          <w:rFonts w:ascii="Times New Roman" w:hAnsi="Times New Roman" w:cs="Times New Roman"/>
        </w:rPr>
        <w:t xml:space="preserve">fell below 721%, its obligation to </w:t>
      </w:r>
      <w:r w:rsidR="00E64512" w:rsidRPr="00755626">
        <w:rPr>
          <w:rFonts w:ascii="Times New Roman" w:hAnsi="Times New Roman" w:cs="Times New Roman"/>
        </w:rPr>
        <w:t>spend</w:t>
      </w:r>
      <w:r w:rsidR="00794038" w:rsidRPr="00755626">
        <w:rPr>
          <w:rFonts w:ascii="Times New Roman" w:hAnsi="Times New Roman" w:cs="Times New Roman"/>
        </w:rPr>
        <w:t xml:space="preserve"> down surplus would be suspended. </w:t>
      </w:r>
      <w:r w:rsidR="00C55093" w:rsidRPr="00755626">
        <w:rPr>
          <w:rFonts w:ascii="Times New Roman" w:hAnsi="Times New Roman" w:cs="Times New Roman"/>
        </w:rPr>
        <w:t>Order and Terms of Consent</w:t>
      </w:r>
      <w:r w:rsidR="00C55093" w:rsidRPr="00755626">
        <w:rPr>
          <w:rFonts w:ascii="Times New Roman" w:hAnsi="Times New Roman" w:cs="Times New Roman"/>
          <w:i/>
        </w:rPr>
        <w:t xml:space="preserve"> </w:t>
      </w:r>
      <w:r w:rsidR="00C55093" w:rsidRPr="00755626">
        <w:rPr>
          <w:rFonts w:ascii="Times New Roman" w:hAnsi="Times New Roman" w:cs="Times New Roman"/>
        </w:rPr>
        <w:t xml:space="preserve">at 3, </w:t>
      </w:r>
      <w:r w:rsidR="00C55093" w:rsidRPr="00755626">
        <w:rPr>
          <w:rFonts w:ascii="Times New Roman" w:hAnsi="Times New Roman" w:cs="Times New Roman"/>
          <w:i/>
        </w:rPr>
        <w:t>In re Surplus Review and Determination for Group Hospitalization and Medical Services, Inc.</w:t>
      </w:r>
      <w:r w:rsidR="00C55093" w:rsidRPr="00755626">
        <w:rPr>
          <w:rFonts w:ascii="Times New Roman" w:hAnsi="Times New Roman" w:cs="Times New Roman"/>
        </w:rPr>
        <w:t xml:space="preserve">, No. 14-MIE-26 (Dep’t of Ins., Sec. &amp; Banking, </w:t>
      </w:r>
      <w:r w:rsidR="00C55093" w:rsidRPr="00095800">
        <w:rPr>
          <w:rFonts w:ascii="Times New Roman" w:hAnsi="Times New Roman" w:cs="Times New Roman"/>
        </w:rPr>
        <w:t xml:space="preserve">Aug. 3, 2017). </w:t>
      </w:r>
      <w:r w:rsidR="00247A3E" w:rsidRPr="00095800">
        <w:rPr>
          <w:rFonts w:ascii="Times New Roman" w:hAnsi="Times New Roman" w:cs="Times New Roman"/>
        </w:rPr>
        <w:t>But</w:t>
      </w:r>
      <w:r w:rsidR="00700DCE" w:rsidRPr="00095800">
        <w:rPr>
          <w:rFonts w:ascii="Times New Roman" w:hAnsi="Times New Roman" w:cs="Times New Roman"/>
        </w:rPr>
        <w:t xml:space="preserve"> </w:t>
      </w:r>
      <w:proofErr w:type="spellStart"/>
      <w:r w:rsidR="00700DCE" w:rsidRPr="00095800">
        <w:rPr>
          <w:rFonts w:ascii="Times New Roman" w:hAnsi="Times New Roman" w:cs="Times New Roman"/>
        </w:rPr>
        <w:t>GHMSI</w:t>
      </w:r>
      <w:proofErr w:type="spellEnd"/>
      <w:r w:rsidR="00700DCE" w:rsidRPr="00095800">
        <w:rPr>
          <w:rFonts w:ascii="Times New Roman" w:hAnsi="Times New Roman" w:cs="Times New Roman"/>
        </w:rPr>
        <w:t xml:space="preserve"> </w:t>
      </w:r>
      <w:r w:rsidR="00247A3E" w:rsidRPr="00095800">
        <w:rPr>
          <w:rFonts w:ascii="Times New Roman" w:hAnsi="Times New Roman" w:cs="Times New Roman"/>
        </w:rPr>
        <w:t xml:space="preserve">has </w:t>
      </w:r>
      <w:r w:rsidR="001E3FBE" w:rsidRPr="00095800">
        <w:rPr>
          <w:rFonts w:ascii="Times New Roman" w:hAnsi="Times New Roman" w:cs="Times New Roman"/>
        </w:rPr>
        <w:t>since increased</w:t>
      </w:r>
      <w:r w:rsidR="00700DCE" w:rsidRPr="00095800">
        <w:rPr>
          <w:rFonts w:ascii="Times New Roman" w:hAnsi="Times New Roman" w:cs="Times New Roman"/>
        </w:rPr>
        <w:t xml:space="preserve"> its RBC ratio to 1</w:t>
      </w:r>
      <w:r w:rsidR="00700DCE" w:rsidRPr="00755626">
        <w:rPr>
          <w:rFonts w:ascii="Times New Roman" w:hAnsi="Times New Roman" w:cs="Times New Roman"/>
        </w:rPr>
        <w:t>088%.</w:t>
      </w:r>
    </w:p>
    <w:p w:rsidR="00DF6405" w:rsidRPr="00755626" w:rsidRDefault="00F02226" w:rsidP="008D3EDB">
      <w:pPr>
        <w:spacing w:after="240"/>
        <w:ind w:firstLine="720"/>
        <w:jc w:val="both"/>
        <w:rPr>
          <w:rFonts w:ascii="Times New Roman" w:hAnsi="Times New Roman" w:cs="Times New Roman"/>
        </w:rPr>
      </w:pPr>
      <w:r w:rsidRPr="00755626">
        <w:rPr>
          <w:rFonts w:ascii="Times New Roman" w:hAnsi="Times New Roman" w:cs="Times New Roman"/>
        </w:rPr>
        <w:t>Third,</w:t>
      </w:r>
      <w:r w:rsidR="00DF6405" w:rsidRPr="00755626">
        <w:rPr>
          <w:rFonts w:ascii="Times New Roman" w:hAnsi="Times New Roman" w:cs="Times New Roman"/>
        </w:rPr>
        <w:t xml:space="preserve"> the Court of </w:t>
      </w:r>
      <w:r w:rsidR="00E64512" w:rsidRPr="00755626">
        <w:rPr>
          <w:rFonts w:ascii="Times New Roman" w:hAnsi="Times New Roman" w:cs="Times New Roman"/>
        </w:rPr>
        <w:t>Appeals</w:t>
      </w:r>
      <w:r w:rsidRPr="00755626">
        <w:rPr>
          <w:rFonts w:ascii="Times New Roman" w:hAnsi="Times New Roman" w:cs="Times New Roman"/>
        </w:rPr>
        <w:t xml:space="preserve"> </w:t>
      </w:r>
      <w:r w:rsidRPr="00755626">
        <w:rPr>
          <w:rFonts w:ascii="Times New Roman" w:hAnsi="Times New Roman" w:cs="Times New Roman"/>
          <w:b/>
          <w:i/>
        </w:rPr>
        <w:t>rejected</w:t>
      </w:r>
      <w:r w:rsidR="00DF6405" w:rsidRPr="00755626">
        <w:rPr>
          <w:rFonts w:ascii="Times New Roman" w:hAnsi="Times New Roman" w:cs="Times New Roman"/>
        </w:rPr>
        <w:t xml:space="preserve"> </w:t>
      </w:r>
      <w:r w:rsidR="00DF6405" w:rsidRPr="00755626">
        <w:rPr>
          <w:rFonts w:ascii="Times New Roman" w:hAnsi="Times New Roman" w:cs="Times New Roman"/>
          <w:b/>
          <w:i/>
        </w:rPr>
        <w:t>all</w:t>
      </w:r>
      <w:r w:rsidR="00DF6405" w:rsidRPr="00755626">
        <w:rPr>
          <w:rFonts w:ascii="Times New Roman" w:hAnsi="Times New Roman" w:cs="Times New Roman"/>
        </w:rPr>
        <w:t xml:space="preserve"> of </w:t>
      </w:r>
      <w:proofErr w:type="spellStart"/>
      <w:r w:rsidR="00DF6405" w:rsidRPr="00755626">
        <w:rPr>
          <w:rFonts w:ascii="Times New Roman" w:hAnsi="Times New Roman" w:cs="Times New Roman"/>
        </w:rPr>
        <w:t>GHMSI</w:t>
      </w:r>
      <w:r w:rsidR="00474EE5" w:rsidRPr="00755626">
        <w:rPr>
          <w:rFonts w:ascii="Times New Roman" w:hAnsi="Times New Roman" w:cs="Times New Roman"/>
        </w:rPr>
        <w:t>’s</w:t>
      </w:r>
      <w:proofErr w:type="spellEnd"/>
      <w:r w:rsidR="00DF6405" w:rsidRPr="00755626">
        <w:rPr>
          <w:rFonts w:ascii="Times New Roman" w:hAnsi="Times New Roman" w:cs="Times New Roman"/>
        </w:rPr>
        <w:t xml:space="preserve"> arguments </w:t>
      </w:r>
      <w:r w:rsidRPr="00755626">
        <w:rPr>
          <w:rFonts w:ascii="Times New Roman" w:hAnsi="Times New Roman" w:cs="Times New Roman"/>
        </w:rPr>
        <w:t>challenging</w:t>
      </w:r>
      <w:r w:rsidR="00DF6405" w:rsidRPr="00755626">
        <w:rPr>
          <w:rFonts w:ascii="Times New Roman" w:hAnsi="Times New Roman" w:cs="Times New Roman"/>
        </w:rPr>
        <w:t xml:space="preserve"> the appr</w:t>
      </w:r>
      <w:r w:rsidR="000E63CF" w:rsidRPr="00755626">
        <w:rPr>
          <w:rFonts w:ascii="Times New Roman" w:hAnsi="Times New Roman" w:cs="Times New Roman"/>
        </w:rPr>
        <w:t>opriateness</w:t>
      </w:r>
      <w:r w:rsidR="00DF6405" w:rsidRPr="00755626">
        <w:rPr>
          <w:rFonts w:ascii="Times New Roman" w:hAnsi="Times New Roman" w:cs="Times New Roman"/>
        </w:rPr>
        <w:t xml:space="preserve"> of the</w:t>
      </w:r>
      <w:r w:rsidRPr="00755626">
        <w:rPr>
          <w:rFonts w:ascii="Times New Roman" w:hAnsi="Times New Roman" w:cs="Times New Roman"/>
        </w:rPr>
        <w:t xml:space="preserve"> Commissioner’s</w:t>
      </w:r>
      <w:r w:rsidR="00DF6405" w:rsidRPr="00755626">
        <w:rPr>
          <w:rFonts w:ascii="Times New Roman" w:hAnsi="Times New Roman" w:cs="Times New Roman"/>
        </w:rPr>
        <w:t xml:space="preserve"> 721% RBC </w:t>
      </w:r>
      <w:r w:rsidR="003A3051" w:rsidRPr="00755626">
        <w:rPr>
          <w:rFonts w:ascii="Times New Roman" w:hAnsi="Times New Roman" w:cs="Times New Roman"/>
        </w:rPr>
        <w:t>ratio</w:t>
      </w:r>
      <w:r w:rsidR="00DF6405" w:rsidRPr="00755626">
        <w:rPr>
          <w:rFonts w:ascii="Times New Roman" w:hAnsi="Times New Roman" w:cs="Times New Roman"/>
        </w:rPr>
        <w:t xml:space="preserve">. As a result, </w:t>
      </w:r>
      <w:r w:rsidR="001E3FBE" w:rsidRPr="00755626">
        <w:rPr>
          <w:rFonts w:ascii="Times New Roman" w:hAnsi="Times New Roman" w:cs="Times New Roman"/>
        </w:rPr>
        <w:t>while</w:t>
      </w:r>
      <w:r w:rsidRPr="00755626">
        <w:rPr>
          <w:rFonts w:ascii="Times New Roman" w:hAnsi="Times New Roman" w:cs="Times New Roman"/>
        </w:rPr>
        <w:t xml:space="preserve"> </w:t>
      </w:r>
      <w:r w:rsidR="001E3FBE" w:rsidRPr="00755626">
        <w:rPr>
          <w:rFonts w:ascii="Times New Roman" w:hAnsi="Times New Roman" w:cs="Times New Roman"/>
        </w:rPr>
        <w:t>resolution</w:t>
      </w:r>
      <w:r w:rsidRPr="00755626">
        <w:rPr>
          <w:rFonts w:ascii="Times New Roman" w:hAnsi="Times New Roman" w:cs="Times New Roman"/>
        </w:rPr>
        <w:t xml:space="preserve"> of the</w:t>
      </w:r>
      <w:r w:rsidR="00DF6405" w:rsidRPr="00755626">
        <w:rPr>
          <w:rFonts w:ascii="Times New Roman" w:hAnsi="Times New Roman" w:cs="Times New Roman"/>
        </w:rPr>
        <w:t xml:space="preserve"> issues now </w:t>
      </w:r>
      <w:r w:rsidRPr="00755626">
        <w:rPr>
          <w:rFonts w:ascii="Times New Roman" w:hAnsi="Times New Roman" w:cs="Times New Roman"/>
        </w:rPr>
        <w:t xml:space="preserve">on remand </w:t>
      </w:r>
      <w:r w:rsidR="00DF6405" w:rsidRPr="00755626">
        <w:rPr>
          <w:rFonts w:ascii="Times New Roman" w:hAnsi="Times New Roman" w:cs="Times New Roman"/>
        </w:rPr>
        <w:t xml:space="preserve">before the </w:t>
      </w:r>
      <w:r w:rsidR="000E63CF" w:rsidRPr="00755626">
        <w:rPr>
          <w:rFonts w:ascii="Times New Roman" w:hAnsi="Times New Roman" w:cs="Times New Roman"/>
        </w:rPr>
        <w:t>Commissioner</w:t>
      </w:r>
      <w:r w:rsidR="00DF6405" w:rsidRPr="00755626">
        <w:rPr>
          <w:rFonts w:ascii="Times New Roman" w:hAnsi="Times New Roman" w:cs="Times New Roman"/>
        </w:rPr>
        <w:t xml:space="preserve"> </w:t>
      </w:r>
      <w:r w:rsidRPr="00755626">
        <w:rPr>
          <w:rFonts w:ascii="Times New Roman" w:hAnsi="Times New Roman" w:cs="Times New Roman"/>
        </w:rPr>
        <w:t>could reduce</w:t>
      </w:r>
      <w:r w:rsidR="00DF6405" w:rsidRPr="00755626">
        <w:rPr>
          <w:rFonts w:ascii="Times New Roman" w:hAnsi="Times New Roman" w:cs="Times New Roman"/>
        </w:rPr>
        <w:t xml:space="preserve"> the </w:t>
      </w:r>
      <w:r w:rsidR="000E63CF" w:rsidRPr="00755626">
        <w:rPr>
          <w:rFonts w:ascii="Times New Roman" w:hAnsi="Times New Roman" w:cs="Times New Roman"/>
        </w:rPr>
        <w:t>permissible</w:t>
      </w:r>
      <w:r w:rsidR="00DF6405" w:rsidRPr="00755626">
        <w:rPr>
          <w:rFonts w:ascii="Times New Roman" w:hAnsi="Times New Roman" w:cs="Times New Roman"/>
        </w:rPr>
        <w:t xml:space="preserve"> RBC</w:t>
      </w:r>
      <w:r w:rsidR="000B2D1F" w:rsidRPr="00755626">
        <w:rPr>
          <w:rFonts w:ascii="Times New Roman" w:hAnsi="Times New Roman" w:cs="Times New Roman"/>
        </w:rPr>
        <w:t xml:space="preserve"> </w:t>
      </w:r>
      <w:r w:rsidR="003A3051" w:rsidRPr="00755626">
        <w:rPr>
          <w:rFonts w:ascii="Times New Roman" w:hAnsi="Times New Roman" w:cs="Times New Roman"/>
        </w:rPr>
        <w:t xml:space="preserve">ratio </w:t>
      </w:r>
      <w:r w:rsidR="000B2D1F" w:rsidRPr="00755626">
        <w:rPr>
          <w:rFonts w:ascii="Times New Roman" w:hAnsi="Times New Roman" w:cs="Times New Roman"/>
        </w:rPr>
        <w:t xml:space="preserve">under </w:t>
      </w:r>
      <w:proofErr w:type="spellStart"/>
      <w:r w:rsidR="000B2D1F" w:rsidRPr="00755626">
        <w:rPr>
          <w:rFonts w:ascii="Times New Roman" w:hAnsi="Times New Roman" w:cs="Times New Roman"/>
        </w:rPr>
        <w:t>MIEAA</w:t>
      </w:r>
      <w:proofErr w:type="spellEnd"/>
      <w:r w:rsidR="00DF6405" w:rsidRPr="00755626">
        <w:rPr>
          <w:rFonts w:ascii="Times New Roman" w:hAnsi="Times New Roman" w:cs="Times New Roman"/>
        </w:rPr>
        <w:t xml:space="preserve">, </w:t>
      </w:r>
      <w:r w:rsidRPr="00755626">
        <w:rPr>
          <w:rFonts w:ascii="Times New Roman" w:hAnsi="Times New Roman" w:cs="Times New Roman"/>
        </w:rPr>
        <w:t xml:space="preserve">that ratio cannot increase. </w:t>
      </w:r>
      <w:r w:rsidR="00D97EE3" w:rsidRPr="00755626">
        <w:rPr>
          <w:rFonts w:ascii="Times New Roman" w:hAnsi="Times New Roman" w:cs="Times New Roman"/>
        </w:rPr>
        <w:t xml:space="preserve">Furthermore, because the Court rejected all of </w:t>
      </w:r>
      <w:proofErr w:type="spellStart"/>
      <w:r w:rsidR="00D97EE3" w:rsidRPr="00755626">
        <w:rPr>
          <w:rFonts w:ascii="Times New Roman" w:hAnsi="Times New Roman" w:cs="Times New Roman"/>
        </w:rPr>
        <w:t>GHMSI’s</w:t>
      </w:r>
      <w:proofErr w:type="spellEnd"/>
      <w:r w:rsidR="00D97EE3" w:rsidRPr="00755626">
        <w:rPr>
          <w:rFonts w:ascii="Times New Roman" w:hAnsi="Times New Roman" w:cs="Times New Roman"/>
        </w:rPr>
        <w:t xml:space="preserve"> argument</w:t>
      </w:r>
      <w:r w:rsidR="00C413B8" w:rsidRPr="00755626">
        <w:rPr>
          <w:rFonts w:ascii="Times New Roman" w:hAnsi="Times New Roman" w:cs="Times New Roman"/>
        </w:rPr>
        <w:t>s</w:t>
      </w:r>
      <w:r w:rsidR="00D97EE3" w:rsidRPr="00755626">
        <w:rPr>
          <w:rFonts w:ascii="Times New Roman" w:hAnsi="Times New Roman" w:cs="Times New Roman"/>
        </w:rPr>
        <w:t xml:space="preserve"> that could reduce the Commissioner’s </w:t>
      </w:r>
      <w:r w:rsidR="004C5845" w:rsidRPr="00755626">
        <w:rPr>
          <w:rFonts w:ascii="Times New Roman" w:hAnsi="Times New Roman" w:cs="Times New Roman"/>
        </w:rPr>
        <w:t>determination</w:t>
      </w:r>
      <w:r w:rsidR="00D97EE3" w:rsidRPr="00755626">
        <w:rPr>
          <w:rFonts w:ascii="Times New Roman" w:hAnsi="Times New Roman" w:cs="Times New Roman"/>
        </w:rPr>
        <w:t xml:space="preserve"> that the </w:t>
      </w:r>
      <w:r w:rsidR="004C5845" w:rsidRPr="00755626">
        <w:rPr>
          <w:rFonts w:ascii="Times New Roman" w:hAnsi="Times New Roman" w:cs="Times New Roman"/>
        </w:rPr>
        <w:t>company</w:t>
      </w:r>
      <w:r w:rsidR="00D97EE3" w:rsidRPr="00755626">
        <w:rPr>
          <w:rFonts w:ascii="Times New Roman" w:hAnsi="Times New Roman" w:cs="Times New Roman"/>
        </w:rPr>
        <w:t xml:space="preserve"> has an excess </w:t>
      </w:r>
      <w:r w:rsidR="004C5845" w:rsidRPr="00755626">
        <w:rPr>
          <w:rFonts w:ascii="Times New Roman" w:hAnsi="Times New Roman" w:cs="Times New Roman"/>
        </w:rPr>
        <w:t>surplus</w:t>
      </w:r>
      <w:r w:rsidR="00D97EE3" w:rsidRPr="00755626">
        <w:rPr>
          <w:rFonts w:ascii="Times New Roman" w:hAnsi="Times New Roman" w:cs="Times New Roman"/>
        </w:rPr>
        <w:t xml:space="preserve"> of $51 million, </w:t>
      </w:r>
      <w:r w:rsidR="00D56AAA" w:rsidRPr="00755626">
        <w:rPr>
          <w:rFonts w:ascii="Times New Roman" w:hAnsi="Times New Roman" w:cs="Times New Roman"/>
        </w:rPr>
        <w:t xml:space="preserve">it is now clear under the Court’s decision that </w:t>
      </w:r>
      <w:proofErr w:type="spellStart"/>
      <w:r w:rsidR="00D56AAA" w:rsidRPr="00755626">
        <w:rPr>
          <w:rFonts w:ascii="Times New Roman" w:hAnsi="Times New Roman" w:cs="Times New Roman"/>
        </w:rPr>
        <w:t>GHMSI</w:t>
      </w:r>
      <w:proofErr w:type="spellEnd"/>
      <w:r w:rsidR="00D56AAA" w:rsidRPr="00755626">
        <w:rPr>
          <w:rFonts w:ascii="Times New Roman" w:hAnsi="Times New Roman" w:cs="Times New Roman"/>
        </w:rPr>
        <w:t xml:space="preserve"> must spend down</w:t>
      </w:r>
      <w:r w:rsidR="00474EE5" w:rsidRPr="00755626">
        <w:rPr>
          <w:rFonts w:ascii="Times New Roman" w:hAnsi="Times New Roman" w:cs="Times New Roman"/>
        </w:rPr>
        <w:t>, at a minimum, that $51 million</w:t>
      </w:r>
      <w:r w:rsidR="00D56AAA" w:rsidRPr="00755626">
        <w:rPr>
          <w:rFonts w:ascii="Times New Roman" w:hAnsi="Times New Roman" w:cs="Times New Roman"/>
        </w:rPr>
        <w:t xml:space="preserve"> </w:t>
      </w:r>
      <w:r w:rsidR="00D97EE3" w:rsidRPr="00755626">
        <w:rPr>
          <w:rFonts w:ascii="Times New Roman" w:hAnsi="Times New Roman" w:cs="Times New Roman"/>
        </w:rPr>
        <w:t>amount.</w:t>
      </w:r>
    </w:p>
    <w:p w:rsidR="002F20C0" w:rsidRPr="00755626" w:rsidRDefault="00DF6405" w:rsidP="008D3EDB">
      <w:pPr>
        <w:spacing w:after="240"/>
        <w:ind w:firstLine="720"/>
        <w:jc w:val="both"/>
        <w:rPr>
          <w:rFonts w:ascii="Times New Roman" w:hAnsi="Times New Roman" w:cs="Times New Roman"/>
        </w:rPr>
      </w:pPr>
      <w:r w:rsidRPr="00755626">
        <w:rPr>
          <w:rFonts w:ascii="Times New Roman" w:hAnsi="Times New Roman" w:cs="Times New Roman"/>
        </w:rPr>
        <w:t>But</w:t>
      </w:r>
      <w:r w:rsidR="00700DCE" w:rsidRPr="00755626">
        <w:rPr>
          <w:rFonts w:ascii="Times New Roman" w:hAnsi="Times New Roman" w:cs="Times New Roman"/>
        </w:rPr>
        <w:t xml:space="preserve"> </w:t>
      </w:r>
      <w:proofErr w:type="spellStart"/>
      <w:r w:rsidR="00F02226" w:rsidRPr="00755626">
        <w:rPr>
          <w:rFonts w:ascii="Times New Roman" w:hAnsi="Times New Roman" w:cs="Times New Roman"/>
        </w:rPr>
        <w:t>GHMSI</w:t>
      </w:r>
      <w:proofErr w:type="spellEnd"/>
      <w:r w:rsidR="00D56AAA" w:rsidRPr="00755626">
        <w:rPr>
          <w:rFonts w:ascii="Times New Roman" w:hAnsi="Times New Roman" w:cs="Times New Roman"/>
        </w:rPr>
        <w:t xml:space="preserve"> has not taken action to spend </w:t>
      </w:r>
      <w:r w:rsidR="00454001" w:rsidRPr="00755626">
        <w:rPr>
          <w:rFonts w:ascii="Times New Roman" w:hAnsi="Times New Roman" w:cs="Times New Roman"/>
        </w:rPr>
        <w:t xml:space="preserve">down </w:t>
      </w:r>
      <w:r w:rsidR="00D56AAA" w:rsidRPr="00755626">
        <w:rPr>
          <w:rFonts w:ascii="Times New Roman" w:hAnsi="Times New Roman" w:cs="Times New Roman"/>
        </w:rPr>
        <w:t>the $51 million.</w:t>
      </w:r>
      <w:r w:rsidR="007D4667">
        <w:rPr>
          <w:rFonts w:ascii="Times New Roman" w:hAnsi="Times New Roman" w:cs="Times New Roman"/>
        </w:rPr>
        <w:t xml:space="preserve"> </w:t>
      </w:r>
      <w:r w:rsidR="000222A3" w:rsidRPr="00755626">
        <w:rPr>
          <w:rFonts w:ascii="Times New Roman" w:hAnsi="Times New Roman" w:cs="Times New Roman"/>
        </w:rPr>
        <w:t xml:space="preserve">Instead, as shown in the chart below, </w:t>
      </w:r>
      <w:proofErr w:type="spellStart"/>
      <w:r w:rsidR="000222A3" w:rsidRPr="00755626">
        <w:rPr>
          <w:rFonts w:ascii="Times New Roman" w:hAnsi="Times New Roman" w:cs="Times New Roman"/>
        </w:rPr>
        <w:t>GHMSI</w:t>
      </w:r>
      <w:proofErr w:type="spellEnd"/>
      <w:r w:rsidR="000222A3" w:rsidRPr="00755626">
        <w:rPr>
          <w:rFonts w:ascii="Times New Roman" w:hAnsi="Times New Roman" w:cs="Times New Roman"/>
        </w:rPr>
        <w:t xml:space="preserve"> has steadily increased its surplus from 2011 through the end of 2019. At year-end 2019, </w:t>
      </w:r>
      <w:proofErr w:type="spellStart"/>
      <w:r w:rsidR="000222A3" w:rsidRPr="00755626">
        <w:rPr>
          <w:rFonts w:ascii="Times New Roman" w:hAnsi="Times New Roman" w:cs="Times New Roman"/>
        </w:rPr>
        <w:t>GHMSI’s</w:t>
      </w:r>
      <w:proofErr w:type="spellEnd"/>
      <w:r w:rsidR="000222A3" w:rsidRPr="00755626">
        <w:rPr>
          <w:rFonts w:ascii="Times New Roman" w:hAnsi="Times New Roman" w:cs="Times New Roman"/>
        </w:rPr>
        <w:t xml:space="preserve"> surplus reached an all-time high of $1.44 billion, and its RBC ratio reached 1088%.</w:t>
      </w:r>
      <w:r w:rsidR="007D4667">
        <w:rPr>
          <w:rFonts w:ascii="Times New Roman" w:hAnsi="Times New Roman" w:cs="Times New Roman"/>
        </w:rPr>
        <w:t xml:space="preserve"> </w:t>
      </w:r>
    </w:p>
    <w:p w:rsidR="002F20C0" w:rsidRDefault="002F20C0" w:rsidP="00C00669">
      <w:pPr>
        <w:keepNext/>
        <w:rPr>
          <w:rFonts w:ascii="Arial" w:hAnsi="Arial" w:cs="Arial"/>
          <w:b/>
          <w:sz w:val="20"/>
          <w:szCs w:val="20"/>
        </w:rPr>
      </w:pPr>
      <w:proofErr w:type="spellStart"/>
      <w:r w:rsidRPr="00CE2080">
        <w:rPr>
          <w:rFonts w:ascii="Arial" w:hAnsi="Arial" w:cs="Arial"/>
          <w:b/>
          <w:sz w:val="20"/>
          <w:szCs w:val="20"/>
        </w:rPr>
        <w:t>GHMSI</w:t>
      </w:r>
      <w:r w:rsidR="00CE2080" w:rsidRPr="00CE2080">
        <w:rPr>
          <w:rFonts w:ascii="Arial" w:hAnsi="Arial" w:cs="Arial"/>
          <w:b/>
          <w:sz w:val="20"/>
          <w:szCs w:val="20"/>
        </w:rPr>
        <w:t>’s</w:t>
      </w:r>
      <w:proofErr w:type="spellEnd"/>
      <w:r w:rsidRPr="00CE2080">
        <w:rPr>
          <w:rFonts w:ascii="Arial" w:hAnsi="Arial" w:cs="Arial"/>
          <w:b/>
          <w:sz w:val="20"/>
          <w:szCs w:val="20"/>
        </w:rPr>
        <w:t xml:space="preserve"> </w:t>
      </w:r>
      <w:r w:rsidR="003A2C94" w:rsidRPr="00CE2080">
        <w:rPr>
          <w:rFonts w:ascii="Arial" w:hAnsi="Arial" w:cs="Arial"/>
          <w:b/>
          <w:sz w:val="20"/>
          <w:szCs w:val="20"/>
        </w:rPr>
        <w:t xml:space="preserve">total adjusted capital (surplus) and </w:t>
      </w:r>
      <w:r w:rsidR="0045644B" w:rsidRPr="00CE2080">
        <w:rPr>
          <w:rFonts w:ascii="Arial" w:hAnsi="Arial" w:cs="Arial"/>
          <w:b/>
          <w:sz w:val="20"/>
          <w:szCs w:val="20"/>
        </w:rPr>
        <w:t xml:space="preserve">risk-based capital </w:t>
      </w:r>
      <w:r w:rsidR="003A3051" w:rsidRPr="00CE2080">
        <w:rPr>
          <w:rFonts w:ascii="Arial" w:hAnsi="Arial" w:cs="Arial"/>
          <w:b/>
          <w:sz w:val="20"/>
          <w:szCs w:val="20"/>
        </w:rPr>
        <w:t xml:space="preserve">(RBC) </w:t>
      </w:r>
      <w:r w:rsidR="00C00669" w:rsidRPr="00CE2080">
        <w:rPr>
          <w:rFonts w:ascii="Arial" w:hAnsi="Arial" w:cs="Arial"/>
          <w:b/>
          <w:sz w:val="20"/>
          <w:szCs w:val="20"/>
        </w:rPr>
        <w:t>r</w:t>
      </w:r>
      <w:r w:rsidR="0045644B" w:rsidRPr="00CE2080">
        <w:rPr>
          <w:rFonts w:ascii="Arial" w:hAnsi="Arial" w:cs="Arial"/>
          <w:b/>
          <w:sz w:val="20"/>
          <w:szCs w:val="20"/>
        </w:rPr>
        <w:t>atio</w:t>
      </w:r>
      <w:r w:rsidRPr="00CE2080">
        <w:rPr>
          <w:rFonts w:ascii="Arial" w:hAnsi="Arial" w:cs="Arial"/>
          <w:b/>
          <w:sz w:val="20"/>
          <w:szCs w:val="20"/>
        </w:rPr>
        <w:t>, 2011-2019</w:t>
      </w:r>
    </w:p>
    <w:p w:rsidR="00A1441C" w:rsidRDefault="00FB4788" w:rsidP="00C00669">
      <w:pPr>
        <w:rPr>
          <w:rFonts w:ascii="Times New Roman" w:hAnsi="Times New Roman" w:cs="Times New Roman"/>
          <w:sz w:val="28"/>
          <w:szCs w:val="28"/>
        </w:rPr>
      </w:pPr>
      <w:r w:rsidRPr="00CF76DD">
        <w:rPr>
          <w:noProof/>
        </w:rPr>
        <w:drawing>
          <wp:inline distT="0" distB="0" distL="0" distR="0">
            <wp:extent cx="5935813" cy="2924175"/>
            <wp:effectExtent l="19050" t="0" r="77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2928011"/>
                    </a:xfrm>
                    <a:prstGeom prst="rect">
                      <a:avLst/>
                    </a:prstGeom>
                    <a:noFill/>
                    <a:ln w="9525">
                      <a:noFill/>
                      <a:miter lim="800000"/>
                      <a:headEnd/>
                      <a:tailEnd/>
                    </a:ln>
                  </pic:spPr>
                </pic:pic>
              </a:graphicData>
            </a:graphic>
          </wp:inline>
        </w:drawing>
      </w:r>
    </w:p>
    <w:p w:rsidR="000E63CF" w:rsidRPr="004B2F56" w:rsidRDefault="000B7053" w:rsidP="00B07A06">
      <w:pPr>
        <w:pStyle w:val="ListParagraph"/>
        <w:ind w:left="0" w:firstLine="720"/>
        <w:jc w:val="both"/>
        <w:rPr>
          <w:rFonts w:cstheme="minorHAnsi"/>
        </w:rPr>
      </w:pPr>
      <w:r w:rsidRPr="004B2F56">
        <w:rPr>
          <w:rFonts w:cstheme="minorHAnsi"/>
        </w:rPr>
        <w:lastRenderedPageBreak/>
        <w:t xml:space="preserve">In short, </w:t>
      </w:r>
      <w:r w:rsidR="004C5845" w:rsidRPr="004B2F56">
        <w:rPr>
          <w:rFonts w:cstheme="minorHAnsi"/>
        </w:rPr>
        <w:t>to date</w:t>
      </w:r>
      <w:r w:rsidRPr="004B2F56">
        <w:rPr>
          <w:rFonts w:cstheme="minorHAnsi"/>
        </w:rPr>
        <w:t xml:space="preserve"> neither </w:t>
      </w:r>
      <w:proofErr w:type="spellStart"/>
      <w:r w:rsidRPr="004B2F56">
        <w:rPr>
          <w:rFonts w:cstheme="minorHAnsi"/>
        </w:rPr>
        <w:t>MIEAA</w:t>
      </w:r>
      <w:proofErr w:type="spellEnd"/>
      <w:r w:rsidRPr="004B2F56">
        <w:rPr>
          <w:rFonts w:cstheme="minorHAnsi"/>
        </w:rPr>
        <w:t xml:space="preserve">, nor the </w:t>
      </w:r>
      <w:proofErr w:type="spellStart"/>
      <w:r w:rsidRPr="004B2F56">
        <w:rPr>
          <w:rFonts w:cstheme="minorHAnsi"/>
        </w:rPr>
        <w:t>DISB’s</w:t>
      </w:r>
      <w:proofErr w:type="spellEnd"/>
      <w:r w:rsidRPr="004B2F56">
        <w:rPr>
          <w:rFonts w:cstheme="minorHAnsi"/>
        </w:rPr>
        <w:t xml:space="preserve"> rulings, nor the Court of Appeals’ decisions</w:t>
      </w:r>
      <w:r w:rsidR="00B07A06" w:rsidRPr="004B2F56">
        <w:rPr>
          <w:rFonts w:cstheme="minorHAnsi"/>
        </w:rPr>
        <w:t>,</w:t>
      </w:r>
      <w:r w:rsidRPr="004B2F56">
        <w:rPr>
          <w:rFonts w:cstheme="minorHAnsi"/>
        </w:rPr>
        <w:t xml:space="preserve"> </w:t>
      </w:r>
      <w:r w:rsidR="004C5845" w:rsidRPr="004B2F56">
        <w:rPr>
          <w:rFonts w:cstheme="minorHAnsi"/>
        </w:rPr>
        <w:t xml:space="preserve">has caused </w:t>
      </w:r>
      <w:proofErr w:type="spellStart"/>
      <w:r w:rsidR="004C5845" w:rsidRPr="004B2F56">
        <w:rPr>
          <w:rFonts w:cstheme="minorHAnsi"/>
        </w:rPr>
        <w:t>GHMSI</w:t>
      </w:r>
      <w:proofErr w:type="spellEnd"/>
      <w:r w:rsidR="004C5845" w:rsidRPr="004B2F56">
        <w:rPr>
          <w:rFonts w:cstheme="minorHAnsi"/>
        </w:rPr>
        <w:t xml:space="preserve"> to reduce its surplus to address community health needs</w:t>
      </w:r>
      <w:r w:rsidR="00B07A06" w:rsidRPr="004B2F56">
        <w:rPr>
          <w:rFonts w:cstheme="minorHAnsi"/>
        </w:rPr>
        <w:t xml:space="preserve"> of the District</w:t>
      </w:r>
      <w:r w:rsidR="004C5845" w:rsidRPr="004B2F56">
        <w:rPr>
          <w:rFonts w:cstheme="minorHAnsi"/>
        </w:rPr>
        <w:t xml:space="preserve">. Absent action by the Commissioner, </w:t>
      </w:r>
      <w:proofErr w:type="spellStart"/>
      <w:r w:rsidR="004C5845" w:rsidRPr="004B2F56">
        <w:rPr>
          <w:rFonts w:cstheme="minorHAnsi"/>
        </w:rPr>
        <w:t>MIEAA</w:t>
      </w:r>
      <w:proofErr w:type="spellEnd"/>
      <w:r w:rsidR="004C5845" w:rsidRPr="004B2F56">
        <w:rPr>
          <w:rFonts w:cstheme="minorHAnsi"/>
        </w:rPr>
        <w:t xml:space="preserve"> will be rendered a dead letter</w:t>
      </w:r>
      <w:r w:rsidR="00364C77">
        <w:rPr>
          <w:rFonts w:cstheme="minorHAnsi"/>
        </w:rPr>
        <w:t xml:space="preserve"> and</w:t>
      </w:r>
      <w:r w:rsidR="007D4667">
        <w:rPr>
          <w:rFonts w:cstheme="minorHAnsi"/>
        </w:rPr>
        <w:t xml:space="preserve"> </w:t>
      </w:r>
      <w:proofErr w:type="spellStart"/>
      <w:r w:rsidR="00D84954">
        <w:rPr>
          <w:rFonts w:cstheme="minorHAnsi"/>
        </w:rPr>
        <w:t>GHMSI</w:t>
      </w:r>
      <w:proofErr w:type="spellEnd"/>
      <w:r w:rsidR="00B07A06" w:rsidRPr="004B2F56">
        <w:rPr>
          <w:rFonts w:cstheme="minorHAnsi"/>
        </w:rPr>
        <w:t xml:space="preserve"> </w:t>
      </w:r>
      <w:r w:rsidR="00D84954">
        <w:rPr>
          <w:rFonts w:cstheme="minorHAnsi"/>
        </w:rPr>
        <w:t xml:space="preserve">will continue largely to disregard its </w:t>
      </w:r>
      <w:r w:rsidR="00B07A06" w:rsidRPr="004B2F56">
        <w:rPr>
          <w:rFonts w:cstheme="minorHAnsi"/>
        </w:rPr>
        <w:t xml:space="preserve">federal charter, with its nonprofit mission and charitable and benevolent purpose, to the great detriment of the District’s residents. </w:t>
      </w:r>
    </w:p>
    <w:p w:rsidR="000A115B" w:rsidRPr="004B2F56" w:rsidRDefault="000A115B" w:rsidP="000A115B">
      <w:pPr>
        <w:pStyle w:val="ListParagraph"/>
        <w:ind w:left="0"/>
        <w:rPr>
          <w:rFonts w:cstheme="minorHAnsi"/>
        </w:rPr>
      </w:pPr>
    </w:p>
    <w:p w:rsidR="000E63CF" w:rsidRPr="004B2F56" w:rsidRDefault="000E63CF" w:rsidP="00F318E8">
      <w:pPr>
        <w:pStyle w:val="Heading2"/>
        <w:rPr>
          <w:rFonts w:asciiTheme="minorHAnsi" w:hAnsiTheme="minorHAnsi" w:cstheme="minorHAnsi"/>
          <w:szCs w:val="24"/>
        </w:rPr>
      </w:pPr>
      <w:bookmarkStart w:id="4" w:name="_Toc40193610"/>
      <w:r w:rsidRPr="004B2F56">
        <w:rPr>
          <w:rFonts w:asciiTheme="minorHAnsi" w:hAnsiTheme="minorHAnsi" w:cstheme="minorHAnsi"/>
          <w:szCs w:val="24"/>
        </w:rPr>
        <w:t xml:space="preserve">The District’s </w:t>
      </w:r>
      <w:r w:rsidR="00B07A06" w:rsidRPr="004B2F56">
        <w:rPr>
          <w:rFonts w:asciiTheme="minorHAnsi" w:hAnsiTheme="minorHAnsi" w:cstheme="minorHAnsi"/>
          <w:szCs w:val="24"/>
        </w:rPr>
        <w:t xml:space="preserve">Critical </w:t>
      </w:r>
      <w:r w:rsidRPr="004B2F56">
        <w:rPr>
          <w:rFonts w:asciiTheme="minorHAnsi" w:hAnsiTheme="minorHAnsi" w:cstheme="minorHAnsi"/>
          <w:szCs w:val="24"/>
        </w:rPr>
        <w:t>Health Needs</w:t>
      </w:r>
      <w:bookmarkEnd w:id="4"/>
    </w:p>
    <w:p w:rsidR="009A3473" w:rsidRPr="004B2F56" w:rsidRDefault="000222A3" w:rsidP="002C4172">
      <w:pPr>
        <w:spacing w:after="240"/>
        <w:ind w:firstLine="720"/>
        <w:jc w:val="both"/>
        <w:rPr>
          <w:rFonts w:cstheme="minorHAnsi"/>
        </w:rPr>
      </w:pPr>
      <w:r w:rsidRPr="004B2F56">
        <w:rPr>
          <w:rFonts w:cstheme="minorHAnsi"/>
        </w:rPr>
        <w:t>T</w:t>
      </w:r>
      <w:r w:rsidR="000E63CF" w:rsidRPr="004B2F56">
        <w:rPr>
          <w:rFonts w:cstheme="minorHAnsi"/>
        </w:rPr>
        <w:t xml:space="preserve">he </w:t>
      </w:r>
      <w:r w:rsidR="00B07A06" w:rsidRPr="004B2F56">
        <w:rPr>
          <w:rFonts w:cstheme="minorHAnsi"/>
        </w:rPr>
        <w:t xml:space="preserve">D.C. </w:t>
      </w:r>
      <w:r w:rsidR="000E63CF" w:rsidRPr="004B2F56">
        <w:rPr>
          <w:rFonts w:cstheme="minorHAnsi"/>
        </w:rPr>
        <w:t xml:space="preserve">Council’s </w:t>
      </w:r>
      <w:r w:rsidR="005A0FC6" w:rsidRPr="004B2F56">
        <w:rPr>
          <w:rFonts w:cstheme="minorHAnsi"/>
        </w:rPr>
        <w:t>purpose</w:t>
      </w:r>
      <w:r w:rsidR="000E63CF" w:rsidRPr="004B2F56">
        <w:rPr>
          <w:rFonts w:cstheme="minorHAnsi"/>
        </w:rPr>
        <w:t xml:space="preserve"> in</w:t>
      </w:r>
      <w:r w:rsidR="009A3473" w:rsidRPr="004B2F56">
        <w:rPr>
          <w:rFonts w:cstheme="minorHAnsi"/>
        </w:rPr>
        <w:t xml:space="preserve"> enacting</w:t>
      </w:r>
      <w:r w:rsidR="000E63CF" w:rsidRPr="004B2F56">
        <w:rPr>
          <w:rFonts w:cstheme="minorHAnsi"/>
        </w:rPr>
        <w:t xml:space="preserve"> </w:t>
      </w:r>
      <w:proofErr w:type="spellStart"/>
      <w:r w:rsidR="000E63CF" w:rsidRPr="004B2F56">
        <w:rPr>
          <w:rFonts w:cstheme="minorHAnsi"/>
        </w:rPr>
        <w:t>MIEAA</w:t>
      </w:r>
      <w:proofErr w:type="spellEnd"/>
      <w:r w:rsidR="000E63CF" w:rsidRPr="004B2F56">
        <w:rPr>
          <w:rFonts w:cstheme="minorHAnsi"/>
        </w:rPr>
        <w:t xml:space="preserve"> </w:t>
      </w:r>
      <w:r w:rsidR="002C4172" w:rsidRPr="004B2F56">
        <w:rPr>
          <w:rFonts w:cstheme="minorHAnsi"/>
        </w:rPr>
        <w:t xml:space="preserve">was </w:t>
      </w:r>
      <w:r w:rsidR="009A3473" w:rsidRPr="004B2F56">
        <w:rPr>
          <w:rFonts w:cstheme="minorHAnsi"/>
        </w:rPr>
        <w:t xml:space="preserve">to </w:t>
      </w:r>
      <w:r w:rsidRPr="004B2F56">
        <w:rPr>
          <w:rFonts w:cstheme="minorHAnsi"/>
        </w:rPr>
        <w:t xml:space="preserve">require that </w:t>
      </w:r>
      <w:proofErr w:type="spellStart"/>
      <w:r w:rsidR="000E63CF" w:rsidRPr="004B2F56">
        <w:rPr>
          <w:rFonts w:cstheme="minorHAnsi"/>
        </w:rPr>
        <w:t>GHMSI</w:t>
      </w:r>
      <w:proofErr w:type="spellEnd"/>
      <w:r w:rsidR="000E63CF" w:rsidRPr="004B2F56">
        <w:rPr>
          <w:rFonts w:cstheme="minorHAnsi"/>
        </w:rPr>
        <w:t xml:space="preserve"> </w:t>
      </w:r>
      <w:r w:rsidR="009A3473" w:rsidRPr="004B2F56">
        <w:rPr>
          <w:rFonts w:cstheme="minorHAnsi"/>
        </w:rPr>
        <w:t xml:space="preserve">direct </w:t>
      </w:r>
      <w:r w:rsidR="002C4172" w:rsidRPr="004B2F56">
        <w:rPr>
          <w:rFonts w:cstheme="minorHAnsi"/>
        </w:rPr>
        <w:t xml:space="preserve">its </w:t>
      </w:r>
      <w:r w:rsidR="009A3473" w:rsidRPr="004B2F56">
        <w:rPr>
          <w:rFonts w:cstheme="minorHAnsi"/>
        </w:rPr>
        <w:t>excess</w:t>
      </w:r>
      <w:r w:rsidR="000E63CF" w:rsidRPr="004B2F56">
        <w:rPr>
          <w:rFonts w:cstheme="minorHAnsi"/>
        </w:rPr>
        <w:t xml:space="preserve"> surplus to </w:t>
      </w:r>
      <w:r w:rsidRPr="004B2F56">
        <w:rPr>
          <w:rFonts w:cstheme="minorHAnsi"/>
        </w:rPr>
        <w:t xml:space="preserve">its </w:t>
      </w:r>
      <w:r w:rsidR="000E63CF" w:rsidRPr="004B2F56">
        <w:rPr>
          <w:rFonts w:cstheme="minorHAnsi"/>
        </w:rPr>
        <w:t xml:space="preserve">charitable </w:t>
      </w:r>
      <w:r w:rsidR="005A0FC6" w:rsidRPr="004B2F56">
        <w:rPr>
          <w:rFonts w:cstheme="minorHAnsi"/>
        </w:rPr>
        <w:t>purpose</w:t>
      </w:r>
      <w:r w:rsidR="000E63CF" w:rsidRPr="004B2F56">
        <w:rPr>
          <w:rFonts w:cstheme="minorHAnsi"/>
        </w:rPr>
        <w:t>, i.e., to invest excess su</w:t>
      </w:r>
      <w:r w:rsidR="005A0FC6" w:rsidRPr="004B2F56">
        <w:rPr>
          <w:rFonts w:cstheme="minorHAnsi"/>
        </w:rPr>
        <w:t>r</w:t>
      </w:r>
      <w:r w:rsidR="000E63CF" w:rsidRPr="004B2F56">
        <w:rPr>
          <w:rFonts w:cstheme="minorHAnsi"/>
        </w:rPr>
        <w:t>p</w:t>
      </w:r>
      <w:r w:rsidR="005A0FC6" w:rsidRPr="004B2F56">
        <w:rPr>
          <w:rFonts w:cstheme="minorHAnsi"/>
        </w:rPr>
        <w:t>l</w:t>
      </w:r>
      <w:r w:rsidR="000E63CF" w:rsidRPr="004B2F56">
        <w:rPr>
          <w:rFonts w:cstheme="minorHAnsi"/>
        </w:rPr>
        <w:t xml:space="preserve">us in </w:t>
      </w:r>
      <w:r w:rsidR="005A0FC6" w:rsidRPr="004B2F56">
        <w:rPr>
          <w:rFonts w:cstheme="minorHAnsi"/>
        </w:rPr>
        <w:t>community</w:t>
      </w:r>
      <w:r w:rsidR="000E63CF" w:rsidRPr="004B2F56">
        <w:rPr>
          <w:rFonts w:cstheme="minorHAnsi"/>
        </w:rPr>
        <w:t xml:space="preserve"> </w:t>
      </w:r>
      <w:r w:rsidR="005A0FC6" w:rsidRPr="004B2F56">
        <w:rPr>
          <w:rFonts w:cstheme="minorHAnsi"/>
        </w:rPr>
        <w:t>health</w:t>
      </w:r>
      <w:r w:rsidR="000E63CF" w:rsidRPr="004B2F56">
        <w:rPr>
          <w:rFonts w:cstheme="minorHAnsi"/>
        </w:rPr>
        <w:t xml:space="preserve"> needs</w:t>
      </w:r>
      <w:r w:rsidR="002C4172" w:rsidRPr="004B2F56">
        <w:rPr>
          <w:rFonts w:cstheme="minorHAnsi"/>
        </w:rPr>
        <w:t xml:space="preserve"> of the District</w:t>
      </w:r>
      <w:r w:rsidR="000E63CF" w:rsidRPr="004B2F56">
        <w:rPr>
          <w:rFonts w:cstheme="minorHAnsi"/>
        </w:rPr>
        <w:t>.</w:t>
      </w:r>
      <w:r w:rsidR="009A3473" w:rsidRPr="004B2F56">
        <w:rPr>
          <w:rFonts w:cstheme="minorHAnsi"/>
        </w:rPr>
        <w:t xml:space="preserve"> </w:t>
      </w:r>
      <w:r w:rsidRPr="004B2F56">
        <w:rPr>
          <w:rFonts w:cstheme="minorHAnsi"/>
        </w:rPr>
        <w:t>T</w:t>
      </w:r>
      <w:r w:rsidR="009A3473" w:rsidRPr="004B2F56">
        <w:rPr>
          <w:rFonts w:cstheme="minorHAnsi"/>
        </w:rPr>
        <w:t xml:space="preserve">he Council determined in 2009 that District residents were facing a “wide variety” of “healthcare issues” and </w:t>
      </w:r>
      <w:r w:rsidRPr="004B2F56">
        <w:rPr>
          <w:rFonts w:cstheme="minorHAnsi"/>
        </w:rPr>
        <w:t xml:space="preserve">stated </w:t>
      </w:r>
      <w:r w:rsidR="009A3473" w:rsidRPr="004B2F56">
        <w:rPr>
          <w:rFonts w:cstheme="minorHAnsi"/>
        </w:rPr>
        <w:t xml:space="preserve">that the “primary motivation” for </w:t>
      </w:r>
      <w:proofErr w:type="spellStart"/>
      <w:r w:rsidR="009A3473" w:rsidRPr="004B2F56">
        <w:rPr>
          <w:rFonts w:cstheme="minorHAnsi"/>
        </w:rPr>
        <w:t>MIEAA</w:t>
      </w:r>
      <w:proofErr w:type="spellEnd"/>
      <w:r w:rsidR="009A3473" w:rsidRPr="004B2F56">
        <w:rPr>
          <w:rFonts w:cstheme="minorHAnsi"/>
        </w:rPr>
        <w:t xml:space="preserve"> was to </w:t>
      </w:r>
      <w:r w:rsidRPr="004B2F56">
        <w:rPr>
          <w:rFonts w:cstheme="minorHAnsi"/>
        </w:rPr>
        <w:t xml:space="preserve">have </w:t>
      </w:r>
      <w:proofErr w:type="spellStart"/>
      <w:r w:rsidRPr="004B2F56">
        <w:rPr>
          <w:rFonts w:cstheme="minorHAnsi"/>
        </w:rPr>
        <w:t>GHMSI</w:t>
      </w:r>
      <w:proofErr w:type="spellEnd"/>
      <w:r w:rsidRPr="004B2F56">
        <w:rPr>
          <w:rFonts w:cstheme="minorHAnsi"/>
        </w:rPr>
        <w:t xml:space="preserve"> use </w:t>
      </w:r>
      <w:r w:rsidR="009A3473" w:rsidRPr="004B2F56">
        <w:rPr>
          <w:rFonts w:cstheme="minorHAnsi"/>
        </w:rPr>
        <w:t>excess surplus to address those issues.</w:t>
      </w:r>
      <w:r w:rsidR="007D4667">
        <w:rPr>
          <w:rFonts w:cstheme="minorHAnsi"/>
        </w:rPr>
        <w:t xml:space="preserve"> </w:t>
      </w:r>
      <w:r w:rsidR="00BF1331" w:rsidRPr="004B2F56">
        <w:rPr>
          <w:rFonts w:cstheme="minorHAnsi"/>
        </w:rPr>
        <w:t xml:space="preserve">Council of D.C. Comm. on Pub. </w:t>
      </w:r>
      <w:proofErr w:type="spellStart"/>
      <w:r w:rsidR="00BF1331" w:rsidRPr="004B2F56">
        <w:rPr>
          <w:rFonts w:cstheme="minorHAnsi"/>
        </w:rPr>
        <w:t>Servs</w:t>
      </w:r>
      <w:proofErr w:type="spellEnd"/>
      <w:r w:rsidR="00BF1331" w:rsidRPr="004B2F56">
        <w:rPr>
          <w:rFonts w:cstheme="minorHAnsi"/>
        </w:rPr>
        <w:t>. &amp; Consumer Affairs, B. 17-934, at 9</w:t>
      </w:r>
      <w:r w:rsidR="00B82E1A" w:rsidRPr="004B2F56">
        <w:rPr>
          <w:rFonts w:cstheme="minorHAnsi"/>
        </w:rPr>
        <w:t xml:space="preserve"> (2008); </w:t>
      </w:r>
      <w:r w:rsidR="00B82E1A" w:rsidRPr="004B2F56">
        <w:rPr>
          <w:rFonts w:cstheme="minorHAnsi"/>
          <w:i/>
        </w:rPr>
        <w:t>D.C. Appleseed Center for Law and Justice, Inc. v. D.C. Department of Insurance, Securities and Banking</w:t>
      </w:r>
      <w:r w:rsidR="00B82E1A" w:rsidRPr="004B2F56">
        <w:rPr>
          <w:rFonts w:cstheme="minorHAnsi"/>
        </w:rPr>
        <w:t xml:space="preserve">, 54 </w:t>
      </w:r>
      <w:proofErr w:type="spellStart"/>
      <w:r w:rsidR="00B82E1A" w:rsidRPr="004B2F56">
        <w:rPr>
          <w:rFonts w:cstheme="minorHAnsi"/>
        </w:rPr>
        <w:t>A.3d</w:t>
      </w:r>
      <w:proofErr w:type="spellEnd"/>
      <w:r w:rsidR="00B82E1A" w:rsidRPr="004B2F56">
        <w:rPr>
          <w:rFonts w:cstheme="minorHAnsi"/>
        </w:rPr>
        <w:t xml:space="preserve"> 1188, 1214 (D.C. 2012)</w:t>
      </w:r>
      <w:r w:rsidR="009A3473" w:rsidRPr="004B2F56">
        <w:rPr>
          <w:rFonts w:cstheme="minorHAnsi"/>
        </w:rPr>
        <w:t>.</w:t>
      </w:r>
      <w:r w:rsidR="007D4667">
        <w:rPr>
          <w:rFonts w:cstheme="minorHAnsi"/>
        </w:rPr>
        <w:t xml:space="preserve"> </w:t>
      </w:r>
    </w:p>
    <w:p w:rsidR="006C1517" w:rsidRPr="004B2F56" w:rsidRDefault="000E63CF" w:rsidP="00F318E8">
      <w:pPr>
        <w:pStyle w:val="BodyText"/>
        <w:rPr>
          <w:rFonts w:asciiTheme="minorHAnsi" w:hAnsiTheme="minorHAnsi" w:cstheme="minorHAnsi"/>
          <w:szCs w:val="24"/>
        </w:rPr>
      </w:pPr>
      <w:r w:rsidRPr="004B2F56">
        <w:rPr>
          <w:rFonts w:asciiTheme="minorHAnsi" w:hAnsiTheme="minorHAnsi" w:cstheme="minorHAnsi"/>
          <w:szCs w:val="24"/>
        </w:rPr>
        <w:t xml:space="preserve">That </w:t>
      </w:r>
      <w:r w:rsidR="005A0FC6" w:rsidRPr="004B2F56">
        <w:rPr>
          <w:rFonts w:asciiTheme="minorHAnsi" w:hAnsiTheme="minorHAnsi" w:cstheme="minorHAnsi"/>
          <w:szCs w:val="24"/>
        </w:rPr>
        <w:t>purpose</w:t>
      </w:r>
      <w:r w:rsidRPr="004B2F56">
        <w:rPr>
          <w:rFonts w:asciiTheme="minorHAnsi" w:hAnsiTheme="minorHAnsi" w:cstheme="minorHAnsi"/>
          <w:szCs w:val="24"/>
        </w:rPr>
        <w:t xml:space="preserve"> </w:t>
      </w:r>
      <w:r w:rsidR="009A3473" w:rsidRPr="004B2F56">
        <w:rPr>
          <w:rFonts w:asciiTheme="minorHAnsi" w:hAnsiTheme="minorHAnsi" w:cstheme="minorHAnsi"/>
          <w:szCs w:val="24"/>
        </w:rPr>
        <w:t>remains</w:t>
      </w:r>
      <w:r w:rsidR="004A09D9" w:rsidRPr="004B2F56">
        <w:rPr>
          <w:rFonts w:asciiTheme="minorHAnsi" w:hAnsiTheme="minorHAnsi" w:cstheme="minorHAnsi"/>
          <w:szCs w:val="24"/>
        </w:rPr>
        <w:t xml:space="preserve"> </w:t>
      </w:r>
      <w:r w:rsidR="005A0FC6" w:rsidRPr="004B2F56">
        <w:rPr>
          <w:rFonts w:asciiTheme="minorHAnsi" w:hAnsiTheme="minorHAnsi" w:cstheme="minorHAnsi"/>
          <w:szCs w:val="24"/>
        </w:rPr>
        <w:t>un</w:t>
      </w:r>
      <w:r w:rsidR="002C4172" w:rsidRPr="004B2F56">
        <w:rPr>
          <w:rFonts w:asciiTheme="minorHAnsi" w:hAnsiTheme="minorHAnsi" w:cstheme="minorHAnsi"/>
          <w:szCs w:val="24"/>
        </w:rPr>
        <w:t>fulfilled</w:t>
      </w:r>
      <w:r w:rsidR="000222A3" w:rsidRPr="004B2F56">
        <w:rPr>
          <w:rFonts w:asciiTheme="minorHAnsi" w:hAnsiTheme="minorHAnsi" w:cstheme="minorHAnsi"/>
          <w:szCs w:val="24"/>
        </w:rPr>
        <w:t>:</w:t>
      </w:r>
      <w:r w:rsidRPr="004B2F56">
        <w:rPr>
          <w:rFonts w:asciiTheme="minorHAnsi" w:hAnsiTheme="minorHAnsi" w:cstheme="minorHAnsi"/>
          <w:szCs w:val="24"/>
        </w:rPr>
        <w:t xml:space="preserve"> </w:t>
      </w:r>
      <w:proofErr w:type="spellStart"/>
      <w:r w:rsidRPr="004B2F56">
        <w:rPr>
          <w:rFonts w:asciiTheme="minorHAnsi" w:hAnsiTheme="minorHAnsi" w:cstheme="minorHAnsi"/>
          <w:szCs w:val="24"/>
        </w:rPr>
        <w:t>GHMSI</w:t>
      </w:r>
      <w:proofErr w:type="spellEnd"/>
      <w:r w:rsidRPr="004B2F56">
        <w:rPr>
          <w:rFonts w:asciiTheme="minorHAnsi" w:hAnsiTheme="minorHAnsi" w:cstheme="minorHAnsi"/>
          <w:szCs w:val="24"/>
        </w:rPr>
        <w:t xml:space="preserve"> </w:t>
      </w:r>
      <w:r w:rsidR="001E3FBE" w:rsidRPr="004B2F56">
        <w:rPr>
          <w:rFonts w:asciiTheme="minorHAnsi" w:hAnsiTheme="minorHAnsi" w:cstheme="minorHAnsi"/>
          <w:szCs w:val="24"/>
        </w:rPr>
        <w:t>has steadily</w:t>
      </w:r>
      <w:r w:rsidR="009A3473" w:rsidRPr="004B2F56">
        <w:rPr>
          <w:rFonts w:asciiTheme="minorHAnsi" w:hAnsiTheme="minorHAnsi" w:cstheme="minorHAnsi"/>
          <w:szCs w:val="24"/>
        </w:rPr>
        <w:t xml:space="preserve"> </w:t>
      </w:r>
      <w:r w:rsidRPr="004B2F56">
        <w:rPr>
          <w:rFonts w:asciiTheme="minorHAnsi" w:hAnsiTheme="minorHAnsi" w:cstheme="minorHAnsi"/>
          <w:i/>
          <w:szCs w:val="24"/>
        </w:rPr>
        <w:t>increas</w:t>
      </w:r>
      <w:r w:rsidR="009A3473" w:rsidRPr="004B2F56">
        <w:rPr>
          <w:rFonts w:asciiTheme="minorHAnsi" w:hAnsiTheme="minorHAnsi" w:cstheme="minorHAnsi"/>
          <w:i/>
          <w:szCs w:val="24"/>
        </w:rPr>
        <w:t>ed</w:t>
      </w:r>
      <w:r w:rsidR="009A3473" w:rsidRPr="004B2F56">
        <w:rPr>
          <w:rFonts w:asciiTheme="minorHAnsi" w:hAnsiTheme="minorHAnsi" w:cstheme="minorHAnsi"/>
          <w:szCs w:val="24"/>
        </w:rPr>
        <w:t>, not decreased,</w:t>
      </w:r>
      <w:r w:rsidRPr="004B2F56">
        <w:rPr>
          <w:rFonts w:asciiTheme="minorHAnsi" w:hAnsiTheme="minorHAnsi" w:cstheme="minorHAnsi"/>
          <w:i/>
          <w:szCs w:val="24"/>
        </w:rPr>
        <w:t xml:space="preserve"> </w:t>
      </w:r>
      <w:r w:rsidR="009A3473" w:rsidRPr="004B2F56">
        <w:rPr>
          <w:rFonts w:asciiTheme="minorHAnsi" w:hAnsiTheme="minorHAnsi" w:cstheme="minorHAnsi"/>
          <w:szCs w:val="24"/>
        </w:rPr>
        <w:t>its</w:t>
      </w:r>
      <w:r w:rsidRPr="004B2F56">
        <w:rPr>
          <w:rFonts w:asciiTheme="minorHAnsi" w:hAnsiTheme="minorHAnsi" w:cstheme="minorHAnsi"/>
          <w:szCs w:val="24"/>
        </w:rPr>
        <w:t xml:space="preserve"> </w:t>
      </w:r>
      <w:r w:rsidR="002C4172" w:rsidRPr="004B2F56">
        <w:rPr>
          <w:rFonts w:asciiTheme="minorHAnsi" w:hAnsiTheme="minorHAnsi" w:cstheme="minorHAnsi"/>
          <w:szCs w:val="24"/>
        </w:rPr>
        <w:t xml:space="preserve">excess </w:t>
      </w:r>
      <w:r w:rsidR="005A0FC6" w:rsidRPr="004B2F56">
        <w:rPr>
          <w:rFonts w:asciiTheme="minorHAnsi" w:hAnsiTheme="minorHAnsi" w:cstheme="minorHAnsi"/>
          <w:szCs w:val="24"/>
        </w:rPr>
        <w:t>surplus</w:t>
      </w:r>
      <w:r w:rsidRPr="004B2F56">
        <w:rPr>
          <w:rFonts w:asciiTheme="minorHAnsi" w:hAnsiTheme="minorHAnsi" w:cstheme="minorHAnsi"/>
          <w:i/>
          <w:szCs w:val="24"/>
        </w:rPr>
        <w:t>.</w:t>
      </w:r>
      <w:r w:rsidRPr="004B2F56">
        <w:rPr>
          <w:rFonts w:asciiTheme="minorHAnsi" w:hAnsiTheme="minorHAnsi" w:cstheme="minorHAnsi"/>
          <w:szCs w:val="24"/>
        </w:rPr>
        <w:t xml:space="preserve"> </w:t>
      </w:r>
      <w:r w:rsidR="00E45857" w:rsidRPr="004B2F56">
        <w:rPr>
          <w:rFonts w:asciiTheme="minorHAnsi" w:hAnsiTheme="minorHAnsi" w:cstheme="minorHAnsi"/>
          <w:szCs w:val="24"/>
        </w:rPr>
        <w:t>Moreover</w:t>
      </w:r>
      <w:r w:rsidR="001E3FBE" w:rsidRPr="004B2F56">
        <w:rPr>
          <w:rFonts w:asciiTheme="minorHAnsi" w:hAnsiTheme="minorHAnsi" w:cstheme="minorHAnsi"/>
          <w:szCs w:val="24"/>
        </w:rPr>
        <w:t>,</w:t>
      </w:r>
      <w:r w:rsidR="004C5845" w:rsidRPr="004B2F56">
        <w:rPr>
          <w:rFonts w:asciiTheme="minorHAnsi" w:hAnsiTheme="minorHAnsi" w:cstheme="minorHAnsi"/>
          <w:szCs w:val="24"/>
        </w:rPr>
        <w:t xml:space="preserve"> </w:t>
      </w:r>
      <w:r w:rsidR="000222A3" w:rsidRPr="004B2F56">
        <w:rPr>
          <w:rFonts w:asciiTheme="minorHAnsi" w:hAnsiTheme="minorHAnsi" w:cstheme="minorHAnsi"/>
          <w:szCs w:val="24"/>
        </w:rPr>
        <w:t xml:space="preserve">since </w:t>
      </w:r>
      <w:proofErr w:type="spellStart"/>
      <w:r w:rsidR="000222A3" w:rsidRPr="004B2F56">
        <w:rPr>
          <w:rFonts w:asciiTheme="minorHAnsi" w:hAnsiTheme="minorHAnsi" w:cstheme="minorHAnsi"/>
          <w:szCs w:val="24"/>
        </w:rPr>
        <w:t>MIEAA’s</w:t>
      </w:r>
      <w:proofErr w:type="spellEnd"/>
      <w:r w:rsidR="000222A3" w:rsidRPr="004B2F56">
        <w:rPr>
          <w:rFonts w:asciiTheme="minorHAnsi" w:hAnsiTheme="minorHAnsi" w:cstheme="minorHAnsi"/>
          <w:szCs w:val="24"/>
        </w:rPr>
        <w:t xml:space="preserve"> enactment</w:t>
      </w:r>
      <w:r w:rsidR="004C5845" w:rsidRPr="004B2F56">
        <w:rPr>
          <w:rFonts w:asciiTheme="minorHAnsi" w:hAnsiTheme="minorHAnsi" w:cstheme="minorHAnsi"/>
          <w:szCs w:val="24"/>
        </w:rPr>
        <w:t>,</w:t>
      </w:r>
      <w:r w:rsidR="001E3FBE" w:rsidRPr="004B2F56">
        <w:rPr>
          <w:rFonts w:asciiTheme="minorHAnsi" w:hAnsiTheme="minorHAnsi" w:cstheme="minorHAnsi"/>
          <w:szCs w:val="24"/>
        </w:rPr>
        <w:t xml:space="preserve"> the</w:t>
      </w:r>
      <w:r w:rsidR="00AF09F9" w:rsidRPr="004B2F56">
        <w:rPr>
          <w:rFonts w:asciiTheme="minorHAnsi" w:hAnsiTheme="minorHAnsi" w:cstheme="minorHAnsi"/>
          <w:szCs w:val="24"/>
        </w:rPr>
        <w:t xml:space="preserve"> District’s critical</w:t>
      </w:r>
      <w:r w:rsidR="005A0FC6" w:rsidRPr="004B2F56">
        <w:rPr>
          <w:rFonts w:asciiTheme="minorHAnsi" w:hAnsiTheme="minorHAnsi" w:cstheme="minorHAnsi"/>
          <w:szCs w:val="24"/>
        </w:rPr>
        <w:t xml:space="preserve"> health needs</w:t>
      </w:r>
      <w:r w:rsidR="00E45857" w:rsidRPr="004B2F56">
        <w:rPr>
          <w:rFonts w:asciiTheme="minorHAnsi" w:hAnsiTheme="minorHAnsi" w:cstheme="minorHAnsi"/>
          <w:szCs w:val="24"/>
        </w:rPr>
        <w:t xml:space="preserve"> have </w:t>
      </w:r>
      <w:r w:rsidR="005A0FC6" w:rsidRPr="004B2F56">
        <w:rPr>
          <w:rFonts w:asciiTheme="minorHAnsi" w:hAnsiTheme="minorHAnsi" w:cstheme="minorHAnsi"/>
          <w:szCs w:val="24"/>
        </w:rPr>
        <w:t>increased</w:t>
      </w:r>
      <w:r w:rsidR="000222A3" w:rsidRPr="004B2F56">
        <w:rPr>
          <w:rFonts w:asciiTheme="minorHAnsi" w:hAnsiTheme="minorHAnsi" w:cstheme="minorHAnsi"/>
          <w:szCs w:val="24"/>
        </w:rPr>
        <w:t>. As the Commissioner is aware,</w:t>
      </w:r>
      <w:r w:rsidR="004C5845" w:rsidRPr="004B2F56">
        <w:rPr>
          <w:rFonts w:asciiTheme="minorHAnsi" w:hAnsiTheme="minorHAnsi" w:cstheme="minorHAnsi"/>
          <w:szCs w:val="24"/>
        </w:rPr>
        <w:t xml:space="preserve"> the </w:t>
      </w:r>
      <w:proofErr w:type="spellStart"/>
      <w:r w:rsidR="004C5845" w:rsidRPr="004B2F56">
        <w:rPr>
          <w:rFonts w:asciiTheme="minorHAnsi" w:hAnsiTheme="minorHAnsi" w:cstheme="minorHAnsi"/>
          <w:szCs w:val="24"/>
        </w:rPr>
        <w:t>COVID</w:t>
      </w:r>
      <w:proofErr w:type="spellEnd"/>
      <w:r w:rsidR="00824421">
        <w:rPr>
          <w:rFonts w:asciiTheme="minorHAnsi" w:hAnsiTheme="minorHAnsi" w:cstheme="minorHAnsi"/>
          <w:szCs w:val="24"/>
        </w:rPr>
        <w:t>-</w:t>
      </w:r>
      <w:r w:rsidR="004C5845" w:rsidRPr="004B2F56">
        <w:rPr>
          <w:rFonts w:asciiTheme="minorHAnsi" w:hAnsiTheme="minorHAnsi" w:cstheme="minorHAnsi"/>
          <w:szCs w:val="24"/>
        </w:rPr>
        <w:t>19 pandemic</w:t>
      </w:r>
      <w:r w:rsidR="000222A3" w:rsidRPr="004B2F56">
        <w:rPr>
          <w:rFonts w:asciiTheme="minorHAnsi" w:hAnsiTheme="minorHAnsi" w:cstheme="minorHAnsi"/>
          <w:szCs w:val="24"/>
        </w:rPr>
        <w:t xml:space="preserve"> has created a public health emergency.</w:t>
      </w:r>
      <w:r w:rsidR="004C5845" w:rsidRPr="004B2F56">
        <w:rPr>
          <w:rFonts w:asciiTheme="minorHAnsi" w:hAnsiTheme="minorHAnsi" w:cstheme="minorHAnsi"/>
          <w:szCs w:val="24"/>
        </w:rPr>
        <w:t xml:space="preserve"> </w:t>
      </w:r>
      <w:proofErr w:type="spellStart"/>
      <w:r w:rsidR="00C24885" w:rsidRPr="004B2F56">
        <w:rPr>
          <w:rFonts w:asciiTheme="minorHAnsi" w:hAnsiTheme="minorHAnsi" w:cstheme="minorHAnsi"/>
          <w:szCs w:val="24"/>
        </w:rPr>
        <w:t>GHMSI</w:t>
      </w:r>
      <w:proofErr w:type="spellEnd"/>
      <w:r w:rsidR="00C24885" w:rsidRPr="004B2F56">
        <w:rPr>
          <w:rFonts w:asciiTheme="minorHAnsi" w:hAnsiTheme="minorHAnsi" w:cstheme="minorHAnsi"/>
          <w:szCs w:val="24"/>
        </w:rPr>
        <w:t xml:space="preserve"> can and </w:t>
      </w:r>
      <w:r w:rsidR="00C80907" w:rsidRPr="004B2F56">
        <w:rPr>
          <w:rFonts w:asciiTheme="minorHAnsi" w:hAnsiTheme="minorHAnsi" w:cstheme="minorHAnsi"/>
          <w:szCs w:val="24"/>
        </w:rPr>
        <w:t>should</w:t>
      </w:r>
      <w:r w:rsidR="00C24885" w:rsidRPr="004B2F56">
        <w:rPr>
          <w:rFonts w:asciiTheme="minorHAnsi" w:hAnsiTheme="minorHAnsi" w:cstheme="minorHAnsi"/>
          <w:szCs w:val="24"/>
        </w:rPr>
        <w:t xml:space="preserve"> now </w:t>
      </w:r>
      <w:r w:rsidR="000222A3" w:rsidRPr="004B2F56">
        <w:rPr>
          <w:rFonts w:asciiTheme="minorHAnsi" w:hAnsiTheme="minorHAnsi" w:cstheme="minorHAnsi"/>
          <w:szCs w:val="24"/>
        </w:rPr>
        <w:t>use</w:t>
      </w:r>
      <w:r w:rsidR="005C702A" w:rsidRPr="004B2F56">
        <w:rPr>
          <w:rFonts w:asciiTheme="minorHAnsi" w:hAnsiTheme="minorHAnsi" w:cstheme="minorHAnsi"/>
          <w:szCs w:val="24"/>
        </w:rPr>
        <w:t xml:space="preserve"> its</w:t>
      </w:r>
      <w:r w:rsidR="00C24885" w:rsidRPr="004B2F56">
        <w:rPr>
          <w:rFonts w:asciiTheme="minorHAnsi" w:hAnsiTheme="minorHAnsi" w:cstheme="minorHAnsi"/>
          <w:szCs w:val="24"/>
        </w:rPr>
        <w:t xml:space="preserve"> </w:t>
      </w:r>
      <w:r w:rsidR="000222A3" w:rsidRPr="004B2F56">
        <w:rPr>
          <w:rFonts w:asciiTheme="minorHAnsi" w:hAnsiTheme="minorHAnsi" w:cstheme="minorHAnsi"/>
          <w:szCs w:val="24"/>
        </w:rPr>
        <w:t xml:space="preserve">excess surplus </w:t>
      </w:r>
      <w:r w:rsidR="00C24885" w:rsidRPr="004B2F56">
        <w:rPr>
          <w:rFonts w:asciiTheme="minorHAnsi" w:hAnsiTheme="minorHAnsi" w:cstheme="minorHAnsi"/>
          <w:szCs w:val="24"/>
        </w:rPr>
        <w:t xml:space="preserve">to </w:t>
      </w:r>
      <w:r w:rsidR="00C80907" w:rsidRPr="004B2F56">
        <w:rPr>
          <w:rFonts w:asciiTheme="minorHAnsi" w:hAnsiTheme="minorHAnsi" w:cstheme="minorHAnsi"/>
          <w:szCs w:val="24"/>
        </w:rPr>
        <w:t>address</w:t>
      </w:r>
      <w:r w:rsidR="00C24885" w:rsidRPr="004B2F56">
        <w:rPr>
          <w:rFonts w:asciiTheme="minorHAnsi" w:hAnsiTheme="minorHAnsi" w:cstheme="minorHAnsi"/>
          <w:szCs w:val="24"/>
        </w:rPr>
        <w:t xml:space="preserve"> the </w:t>
      </w:r>
      <w:r w:rsidR="00C80907" w:rsidRPr="004B2F56">
        <w:rPr>
          <w:rFonts w:asciiTheme="minorHAnsi" w:hAnsiTheme="minorHAnsi" w:cstheme="minorHAnsi"/>
          <w:szCs w:val="24"/>
        </w:rPr>
        <w:t>health</w:t>
      </w:r>
      <w:r w:rsidR="00C24885" w:rsidRPr="004B2F56">
        <w:rPr>
          <w:rFonts w:asciiTheme="minorHAnsi" w:hAnsiTheme="minorHAnsi" w:cstheme="minorHAnsi"/>
          <w:szCs w:val="24"/>
        </w:rPr>
        <w:t xml:space="preserve"> needs caused by </w:t>
      </w:r>
      <w:r w:rsidR="000222A3" w:rsidRPr="004B2F56">
        <w:rPr>
          <w:rFonts w:asciiTheme="minorHAnsi" w:hAnsiTheme="minorHAnsi" w:cstheme="minorHAnsi"/>
          <w:szCs w:val="24"/>
        </w:rPr>
        <w:t xml:space="preserve">this </w:t>
      </w:r>
      <w:r w:rsidR="00C24885" w:rsidRPr="004B2F56">
        <w:rPr>
          <w:rFonts w:asciiTheme="minorHAnsi" w:hAnsiTheme="minorHAnsi" w:cstheme="minorHAnsi"/>
          <w:szCs w:val="24"/>
        </w:rPr>
        <w:t xml:space="preserve">pandemic. </w:t>
      </w:r>
    </w:p>
    <w:p w:rsidR="00A604C0" w:rsidRPr="004B2F56" w:rsidRDefault="006C1517" w:rsidP="002C4172">
      <w:pPr>
        <w:spacing w:after="240"/>
        <w:ind w:firstLine="720"/>
        <w:jc w:val="both"/>
        <w:rPr>
          <w:rFonts w:cstheme="minorHAnsi"/>
        </w:rPr>
      </w:pPr>
      <w:r w:rsidRPr="004B2F56">
        <w:rPr>
          <w:rFonts w:cstheme="minorHAnsi"/>
        </w:rPr>
        <w:t>Indeed, a</w:t>
      </w:r>
      <w:r w:rsidR="00C80907" w:rsidRPr="004B2F56">
        <w:rPr>
          <w:rFonts w:cstheme="minorHAnsi"/>
        </w:rPr>
        <w:t>s</w:t>
      </w:r>
      <w:r w:rsidR="00C24885" w:rsidRPr="004B2F56">
        <w:rPr>
          <w:rFonts w:cstheme="minorHAnsi"/>
        </w:rPr>
        <w:t xml:space="preserve"> the </w:t>
      </w:r>
      <w:r w:rsidR="00C80907" w:rsidRPr="004B2F56">
        <w:rPr>
          <w:rFonts w:cstheme="minorHAnsi"/>
        </w:rPr>
        <w:t>Commissioner expressly</w:t>
      </w:r>
      <w:r w:rsidR="00C24885" w:rsidRPr="004B2F56">
        <w:rPr>
          <w:rFonts w:cstheme="minorHAnsi"/>
        </w:rPr>
        <w:t xml:space="preserve"> noted in </w:t>
      </w:r>
      <w:r w:rsidR="002C4172" w:rsidRPr="004B2F56">
        <w:rPr>
          <w:rFonts w:cstheme="minorHAnsi"/>
        </w:rPr>
        <w:t xml:space="preserve">the </w:t>
      </w:r>
      <w:r w:rsidR="00C80907" w:rsidRPr="004B2F56">
        <w:rPr>
          <w:rFonts w:cstheme="minorHAnsi"/>
        </w:rPr>
        <w:t>December</w:t>
      </w:r>
      <w:r w:rsidR="00C24885" w:rsidRPr="004B2F56">
        <w:rPr>
          <w:rFonts w:cstheme="minorHAnsi"/>
        </w:rPr>
        <w:t xml:space="preserve"> 30, 2014 </w:t>
      </w:r>
      <w:r w:rsidR="00C80907" w:rsidRPr="004B2F56">
        <w:rPr>
          <w:rFonts w:cstheme="minorHAnsi"/>
        </w:rPr>
        <w:t>decision</w:t>
      </w:r>
      <w:r w:rsidR="00C24885" w:rsidRPr="004B2F56">
        <w:rPr>
          <w:rFonts w:cstheme="minorHAnsi"/>
        </w:rPr>
        <w:t xml:space="preserve">, </w:t>
      </w:r>
      <w:proofErr w:type="spellStart"/>
      <w:r w:rsidR="00C24885" w:rsidRPr="004B2F56">
        <w:rPr>
          <w:rFonts w:cstheme="minorHAnsi"/>
        </w:rPr>
        <w:t>GHMSI’s</w:t>
      </w:r>
      <w:proofErr w:type="spellEnd"/>
      <w:r w:rsidR="00C24885" w:rsidRPr="004B2F56">
        <w:rPr>
          <w:rFonts w:cstheme="minorHAnsi"/>
        </w:rPr>
        <w:t xml:space="preserve"> own s</w:t>
      </w:r>
      <w:r w:rsidR="00C80907" w:rsidRPr="004B2F56">
        <w:rPr>
          <w:rFonts w:cstheme="minorHAnsi"/>
        </w:rPr>
        <w:t>tatistical</w:t>
      </w:r>
      <w:r w:rsidR="00C24885" w:rsidRPr="004B2F56">
        <w:rPr>
          <w:rFonts w:cstheme="minorHAnsi"/>
        </w:rPr>
        <w:t xml:space="preserve"> model</w:t>
      </w:r>
      <w:r w:rsidRPr="004B2F56">
        <w:rPr>
          <w:rFonts w:cstheme="minorHAnsi"/>
        </w:rPr>
        <w:t xml:space="preserve"> – </w:t>
      </w:r>
      <w:r w:rsidR="00C24885" w:rsidRPr="004B2F56">
        <w:rPr>
          <w:rFonts w:cstheme="minorHAnsi"/>
        </w:rPr>
        <w:t xml:space="preserve">which the </w:t>
      </w:r>
      <w:r w:rsidR="00C80907" w:rsidRPr="004B2F56">
        <w:rPr>
          <w:rFonts w:cstheme="minorHAnsi"/>
        </w:rPr>
        <w:t>Commissioner</w:t>
      </w:r>
      <w:r w:rsidR="00C24885" w:rsidRPr="004B2F56">
        <w:rPr>
          <w:rFonts w:cstheme="minorHAnsi"/>
        </w:rPr>
        <w:t xml:space="preserve"> </w:t>
      </w:r>
      <w:r w:rsidR="00C80907" w:rsidRPr="004B2F56">
        <w:rPr>
          <w:rFonts w:cstheme="minorHAnsi"/>
        </w:rPr>
        <w:t>adopted to</w:t>
      </w:r>
      <w:r w:rsidR="00C24885" w:rsidRPr="004B2F56">
        <w:rPr>
          <w:rFonts w:cstheme="minorHAnsi"/>
        </w:rPr>
        <w:t xml:space="preserve"> assess </w:t>
      </w:r>
      <w:proofErr w:type="spellStart"/>
      <w:r w:rsidR="00C24885" w:rsidRPr="004B2F56">
        <w:rPr>
          <w:rFonts w:cstheme="minorHAnsi"/>
        </w:rPr>
        <w:t>GHMSI’s</w:t>
      </w:r>
      <w:proofErr w:type="spellEnd"/>
      <w:r w:rsidR="00C24885" w:rsidRPr="004B2F56">
        <w:rPr>
          <w:rFonts w:cstheme="minorHAnsi"/>
        </w:rPr>
        <w:t xml:space="preserve"> </w:t>
      </w:r>
      <w:r w:rsidR="00C80907" w:rsidRPr="004B2F56">
        <w:rPr>
          <w:rFonts w:cstheme="minorHAnsi"/>
        </w:rPr>
        <w:t>permissible</w:t>
      </w:r>
      <w:r w:rsidR="00C24885" w:rsidRPr="004B2F56">
        <w:rPr>
          <w:rFonts w:cstheme="minorHAnsi"/>
        </w:rPr>
        <w:t xml:space="preserve"> surplus – </w:t>
      </w:r>
      <w:r w:rsidRPr="004B2F56">
        <w:rPr>
          <w:rFonts w:cstheme="minorHAnsi"/>
        </w:rPr>
        <w:t>included</w:t>
      </w:r>
      <w:r w:rsidR="00C24885" w:rsidRPr="004B2F56">
        <w:rPr>
          <w:rFonts w:cstheme="minorHAnsi"/>
        </w:rPr>
        <w:t xml:space="preserve"> a “catastrophic </w:t>
      </w:r>
      <w:r w:rsidR="00C80907" w:rsidRPr="004B2F56">
        <w:rPr>
          <w:rFonts w:cstheme="minorHAnsi"/>
        </w:rPr>
        <w:t>events</w:t>
      </w:r>
      <w:r w:rsidR="00C24885" w:rsidRPr="004B2F56">
        <w:rPr>
          <w:rFonts w:cstheme="minorHAnsi"/>
        </w:rPr>
        <w:t xml:space="preserve"> risk factor” </w:t>
      </w:r>
      <w:r w:rsidR="00A604C0" w:rsidRPr="004B2F56">
        <w:rPr>
          <w:rFonts w:cstheme="minorHAnsi"/>
        </w:rPr>
        <w:t>recognizing</w:t>
      </w:r>
      <w:r w:rsidR="00C24885" w:rsidRPr="004B2F56">
        <w:rPr>
          <w:rFonts w:cstheme="minorHAnsi"/>
        </w:rPr>
        <w:t xml:space="preserve"> “the </w:t>
      </w:r>
      <w:r w:rsidR="00C80907" w:rsidRPr="004B2F56">
        <w:rPr>
          <w:rFonts w:cstheme="minorHAnsi"/>
        </w:rPr>
        <w:t>potential</w:t>
      </w:r>
      <w:r w:rsidR="00C24885" w:rsidRPr="004B2F56">
        <w:rPr>
          <w:rFonts w:cstheme="minorHAnsi"/>
        </w:rPr>
        <w:t xml:space="preserve"> e</w:t>
      </w:r>
      <w:r w:rsidR="00C80907" w:rsidRPr="004B2F56">
        <w:rPr>
          <w:rFonts w:cstheme="minorHAnsi"/>
        </w:rPr>
        <w:t>ff</w:t>
      </w:r>
      <w:r w:rsidR="00C24885" w:rsidRPr="004B2F56">
        <w:rPr>
          <w:rFonts w:cstheme="minorHAnsi"/>
        </w:rPr>
        <w:t xml:space="preserve">ect of </w:t>
      </w:r>
      <w:r w:rsidR="00C80907" w:rsidRPr="004B2F56">
        <w:rPr>
          <w:rFonts w:cstheme="minorHAnsi"/>
        </w:rPr>
        <w:t>events</w:t>
      </w:r>
      <w:r w:rsidR="00C24885" w:rsidRPr="004B2F56">
        <w:rPr>
          <w:rFonts w:cstheme="minorHAnsi"/>
        </w:rPr>
        <w:t xml:space="preserve"> that are infrequent, </w:t>
      </w:r>
      <w:r w:rsidR="00C80907" w:rsidRPr="004B2F56">
        <w:rPr>
          <w:rFonts w:cstheme="minorHAnsi"/>
        </w:rPr>
        <w:t>severe</w:t>
      </w:r>
      <w:r w:rsidR="00C24885" w:rsidRPr="004B2F56">
        <w:rPr>
          <w:rFonts w:cstheme="minorHAnsi"/>
        </w:rPr>
        <w:t xml:space="preserve">, and unpredictable natural </w:t>
      </w:r>
      <w:r w:rsidR="00C80907" w:rsidRPr="004B2F56">
        <w:rPr>
          <w:rFonts w:cstheme="minorHAnsi"/>
        </w:rPr>
        <w:t>disasters</w:t>
      </w:r>
      <w:r w:rsidR="00C24885" w:rsidRPr="004B2F56">
        <w:rPr>
          <w:rFonts w:cstheme="minorHAnsi"/>
        </w:rPr>
        <w:t xml:space="preserve"> </w:t>
      </w:r>
      <w:r w:rsidR="00C80907" w:rsidRPr="004B2F56">
        <w:rPr>
          <w:rFonts w:cstheme="minorHAnsi"/>
        </w:rPr>
        <w:t>(</w:t>
      </w:r>
      <w:r w:rsidR="00C24885" w:rsidRPr="004B2F56">
        <w:rPr>
          <w:rFonts w:cstheme="minorHAnsi"/>
        </w:rPr>
        <w:t>for example, pandemics</w:t>
      </w:r>
      <w:r w:rsidR="00E83B13" w:rsidRPr="004B2F56">
        <w:rPr>
          <w:rFonts w:cstheme="minorHAnsi"/>
        </w:rPr>
        <w:t xml:space="preserve"> . . . .</w:t>
      </w:r>
      <w:r w:rsidR="00C24885" w:rsidRPr="004B2F56">
        <w:rPr>
          <w:rFonts w:cstheme="minorHAnsi"/>
        </w:rPr>
        <w:t>”</w:t>
      </w:r>
      <w:r w:rsidR="0027761B" w:rsidRPr="004B2F56">
        <w:rPr>
          <w:rFonts w:cstheme="minorHAnsi"/>
        </w:rPr>
        <w:t>)</w:t>
      </w:r>
      <w:r w:rsidR="00E83B13" w:rsidRPr="004B2F56">
        <w:rPr>
          <w:rFonts w:cstheme="minorHAnsi"/>
        </w:rPr>
        <w:t>.</w:t>
      </w:r>
      <w:r w:rsidR="00C24885" w:rsidRPr="004B2F56">
        <w:rPr>
          <w:rFonts w:cstheme="minorHAnsi"/>
        </w:rPr>
        <w:t xml:space="preserve"> </w:t>
      </w:r>
      <w:r w:rsidR="00E83B13" w:rsidRPr="004B2F56">
        <w:rPr>
          <w:rFonts w:cstheme="minorHAnsi"/>
        </w:rPr>
        <w:t xml:space="preserve">2014 </w:t>
      </w:r>
      <w:r w:rsidR="00C24885" w:rsidRPr="004B2F56">
        <w:rPr>
          <w:rFonts w:cstheme="minorHAnsi"/>
        </w:rPr>
        <w:t>Dec</w:t>
      </w:r>
      <w:r w:rsidR="00C80907" w:rsidRPr="004B2F56">
        <w:rPr>
          <w:rFonts w:cstheme="minorHAnsi"/>
        </w:rPr>
        <w:t>i</w:t>
      </w:r>
      <w:r w:rsidR="00C24885" w:rsidRPr="004B2F56">
        <w:rPr>
          <w:rFonts w:cstheme="minorHAnsi"/>
        </w:rPr>
        <w:t>sion</w:t>
      </w:r>
      <w:r w:rsidR="00E83B13" w:rsidRPr="004B2F56">
        <w:rPr>
          <w:rFonts w:cstheme="minorHAnsi"/>
        </w:rPr>
        <w:t xml:space="preserve"> at</w:t>
      </w:r>
      <w:r w:rsidR="00C24885" w:rsidRPr="004B2F56">
        <w:rPr>
          <w:rFonts w:cstheme="minorHAnsi"/>
        </w:rPr>
        <w:t xml:space="preserve"> 43. </w:t>
      </w:r>
    </w:p>
    <w:p w:rsidR="004C5845" w:rsidRPr="004B2F56" w:rsidRDefault="005354CC" w:rsidP="001F2097">
      <w:pPr>
        <w:spacing w:after="240"/>
        <w:ind w:firstLine="720"/>
        <w:jc w:val="both"/>
        <w:rPr>
          <w:rFonts w:cstheme="minorHAnsi"/>
        </w:rPr>
      </w:pPr>
      <w:proofErr w:type="spellStart"/>
      <w:r w:rsidRPr="004B2F56">
        <w:rPr>
          <w:rFonts w:cstheme="minorHAnsi"/>
        </w:rPr>
        <w:t>GHMSI’s</w:t>
      </w:r>
      <w:proofErr w:type="spellEnd"/>
      <w:r w:rsidRPr="004B2F56">
        <w:rPr>
          <w:rFonts w:cstheme="minorHAnsi"/>
        </w:rPr>
        <w:t xml:space="preserve"> extraordina</w:t>
      </w:r>
      <w:r w:rsidR="00A604C0" w:rsidRPr="004B2F56">
        <w:rPr>
          <w:rFonts w:cstheme="minorHAnsi"/>
        </w:rPr>
        <w:t xml:space="preserve">ry, historically </w:t>
      </w:r>
      <w:r w:rsidRPr="004B2F56">
        <w:rPr>
          <w:rFonts w:cstheme="minorHAnsi"/>
        </w:rPr>
        <w:t>high</w:t>
      </w:r>
      <w:r w:rsidR="00F02EC6">
        <w:rPr>
          <w:rFonts w:cstheme="minorHAnsi"/>
        </w:rPr>
        <w:t xml:space="preserve"> excess</w:t>
      </w:r>
      <w:r w:rsidRPr="004B2F56">
        <w:rPr>
          <w:rFonts w:cstheme="minorHAnsi"/>
        </w:rPr>
        <w:t xml:space="preserve"> surplus </w:t>
      </w:r>
      <w:r w:rsidR="0027761B" w:rsidRPr="004B2F56">
        <w:rPr>
          <w:rFonts w:cstheme="minorHAnsi"/>
        </w:rPr>
        <w:t>ensures that it can do much more than</w:t>
      </w:r>
      <w:r w:rsidRPr="004B2F56">
        <w:rPr>
          <w:rFonts w:cstheme="minorHAnsi"/>
        </w:rPr>
        <w:t xml:space="preserve"> meet its obligations to subscribers during this pandemic</w:t>
      </w:r>
      <w:r w:rsidR="0027761B" w:rsidRPr="004B2F56">
        <w:rPr>
          <w:rFonts w:cstheme="minorHAnsi"/>
        </w:rPr>
        <w:t xml:space="preserve">. At long last, </w:t>
      </w:r>
      <w:proofErr w:type="spellStart"/>
      <w:r w:rsidR="0027761B" w:rsidRPr="004B2F56">
        <w:rPr>
          <w:rFonts w:cstheme="minorHAnsi"/>
        </w:rPr>
        <w:t>GHMSI</w:t>
      </w:r>
      <w:proofErr w:type="spellEnd"/>
      <w:r w:rsidR="0027761B" w:rsidRPr="004B2F56">
        <w:rPr>
          <w:rFonts w:cstheme="minorHAnsi"/>
        </w:rPr>
        <w:t xml:space="preserve"> should</w:t>
      </w:r>
      <w:r w:rsidRPr="004B2F56">
        <w:rPr>
          <w:rFonts w:cstheme="minorHAnsi"/>
        </w:rPr>
        <w:t xml:space="preserve"> </w:t>
      </w:r>
      <w:r w:rsidR="005C28BC" w:rsidRPr="004B2F56">
        <w:rPr>
          <w:rFonts w:cstheme="minorHAnsi"/>
        </w:rPr>
        <w:t xml:space="preserve">be brought into compliance with </w:t>
      </w:r>
      <w:proofErr w:type="spellStart"/>
      <w:r w:rsidR="005C28BC" w:rsidRPr="004B2F56">
        <w:rPr>
          <w:rFonts w:cstheme="minorHAnsi"/>
        </w:rPr>
        <w:t>MIEAA</w:t>
      </w:r>
      <w:proofErr w:type="spellEnd"/>
      <w:r w:rsidR="005C28BC" w:rsidRPr="004B2F56">
        <w:rPr>
          <w:rFonts w:cstheme="minorHAnsi"/>
        </w:rPr>
        <w:t xml:space="preserve"> and</w:t>
      </w:r>
      <w:r w:rsidR="005C702A" w:rsidRPr="004B2F56">
        <w:rPr>
          <w:rFonts w:cstheme="minorHAnsi"/>
        </w:rPr>
        <w:t xml:space="preserve"> should be</w:t>
      </w:r>
      <w:r w:rsidR="005C28BC" w:rsidRPr="004B2F56">
        <w:rPr>
          <w:rFonts w:cstheme="minorHAnsi"/>
        </w:rPr>
        <w:t xml:space="preserve"> required to </w:t>
      </w:r>
      <w:r w:rsidRPr="004B2F56">
        <w:rPr>
          <w:rFonts w:cstheme="minorHAnsi"/>
        </w:rPr>
        <w:t xml:space="preserve">invest its significant excess </w:t>
      </w:r>
      <w:r w:rsidR="0027761B" w:rsidRPr="004B2F56">
        <w:rPr>
          <w:rFonts w:cstheme="minorHAnsi"/>
        </w:rPr>
        <w:t>surplus to help address</w:t>
      </w:r>
      <w:r w:rsidRPr="004B2F56">
        <w:rPr>
          <w:rFonts w:cstheme="minorHAnsi"/>
        </w:rPr>
        <w:t xml:space="preserve"> </w:t>
      </w:r>
      <w:r w:rsidR="0027761B" w:rsidRPr="004B2F56">
        <w:rPr>
          <w:rFonts w:cstheme="minorHAnsi"/>
        </w:rPr>
        <w:t>the</w:t>
      </w:r>
      <w:r w:rsidRPr="004B2F56">
        <w:rPr>
          <w:rFonts w:cstheme="minorHAnsi"/>
        </w:rPr>
        <w:t xml:space="preserve"> dire health</w:t>
      </w:r>
      <w:r w:rsidR="00A604C0" w:rsidRPr="004B2F56">
        <w:rPr>
          <w:rFonts w:cstheme="minorHAnsi"/>
        </w:rPr>
        <w:t xml:space="preserve"> care</w:t>
      </w:r>
      <w:r w:rsidRPr="004B2F56">
        <w:rPr>
          <w:rFonts w:cstheme="minorHAnsi"/>
        </w:rPr>
        <w:t xml:space="preserve"> needs</w:t>
      </w:r>
      <w:r w:rsidR="002C4172" w:rsidRPr="004B2F56">
        <w:rPr>
          <w:rFonts w:cstheme="minorHAnsi"/>
        </w:rPr>
        <w:t xml:space="preserve"> of the District community</w:t>
      </w:r>
      <w:r w:rsidRPr="004B2F56">
        <w:rPr>
          <w:rFonts w:cstheme="minorHAnsi"/>
        </w:rPr>
        <w:t xml:space="preserve">. </w:t>
      </w:r>
    </w:p>
    <w:p w:rsidR="007D3D8C" w:rsidRPr="004B2F56" w:rsidRDefault="007D3D8C" w:rsidP="00F318E8">
      <w:pPr>
        <w:pStyle w:val="Heading2"/>
        <w:rPr>
          <w:rFonts w:asciiTheme="minorHAnsi" w:hAnsiTheme="minorHAnsi" w:cstheme="minorHAnsi"/>
          <w:szCs w:val="24"/>
        </w:rPr>
      </w:pPr>
      <w:bookmarkStart w:id="5" w:name="_Toc40193611"/>
      <w:r w:rsidRPr="004B2F56">
        <w:rPr>
          <w:rFonts w:asciiTheme="minorHAnsi" w:hAnsiTheme="minorHAnsi" w:cstheme="minorHAnsi"/>
          <w:szCs w:val="24"/>
        </w:rPr>
        <w:t>Past Delays</w:t>
      </w:r>
      <w:r w:rsidR="002C4172" w:rsidRPr="004B2F56">
        <w:rPr>
          <w:rFonts w:asciiTheme="minorHAnsi" w:hAnsiTheme="minorHAnsi" w:cstheme="minorHAnsi"/>
          <w:szCs w:val="24"/>
        </w:rPr>
        <w:t xml:space="preserve"> in </w:t>
      </w:r>
      <w:proofErr w:type="spellStart"/>
      <w:r w:rsidR="002C4172" w:rsidRPr="004B2F56">
        <w:rPr>
          <w:rFonts w:asciiTheme="minorHAnsi" w:hAnsiTheme="minorHAnsi" w:cstheme="minorHAnsi"/>
          <w:szCs w:val="24"/>
        </w:rPr>
        <w:t>DISB</w:t>
      </w:r>
      <w:proofErr w:type="spellEnd"/>
      <w:r w:rsidR="002C4172" w:rsidRPr="004B2F56">
        <w:rPr>
          <w:rFonts w:asciiTheme="minorHAnsi" w:hAnsiTheme="minorHAnsi" w:cstheme="minorHAnsi"/>
          <w:szCs w:val="24"/>
        </w:rPr>
        <w:t xml:space="preserve"> Proceedings</w:t>
      </w:r>
      <w:bookmarkEnd w:id="5"/>
      <w:r w:rsidR="002C4172" w:rsidRPr="004B2F56">
        <w:rPr>
          <w:rFonts w:asciiTheme="minorHAnsi" w:hAnsiTheme="minorHAnsi" w:cstheme="minorHAnsi"/>
          <w:szCs w:val="24"/>
        </w:rPr>
        <w:t xml:space="preserve"> </w:t>
      </w:r>
    </w:p>
    <w:p w:rsidR="007D3D8C" w:rsidRPr="004B2F56" w:rsidRDefault="007D3D8C" w:rsidP="007D3D8C">
      <w:pPr>
        <w:spacing w:after="240"/>
        <w:ind w:firstLine="720"/>
        <w:jc w:val="both"/>
        <w:rPr>
          <w:rFonts w:cstheme="minorHAnsi"/>
        </w:rPr>
      </w:pPr>
      <w:proofErr w:type="spellStart"/>
      <w:r w:rsidRPr="004B2F56">
        <w:rPr>
          <w:rFonts w:cstheme="minorHAnsi"/>
        </w:rPr>
        <w:t>DISB’s</w:t>
      </w:r>
      <w:proofErr w:type="spellEnd"/>
      <w:r w:rsidRPr="004B2F56">
        <w:rPr>
          <w:rFonts w:cstheme="minorHAnsi"/>
        </w:rPr>
        <w:t xml:space="preserve"> eleven-year delay in fulfilling </w:t>
      </w:r>
      <w:proofErr w:type="spellStart"/>
      <w:r w:rsidRPr="004B2F56">
        <w:rPr>
          <w:rFonts w:cstheme="minorHAnsi"/>
        </w:rPr>
        <w:t>MIEAA’s</w:t>
      </w:r>
      <w:proofErr w:type="spellEnd"/>
      <w:r w:rsidRPr="004B2F56">
        <w:rPr>
          <w:rFonts w:cstheme="minorHAnsi"/>
        </w:rPr>
        <w:t xml:space="preserve"> mandates is due primarily to </w:t>
      </w:r>
      <w:r w:rsidR="002C4172" w:rsidRPr="004B2F56">
        <w:rPr>
          <w:rFonts w:cstheme="minorHAnsi"/>
        </w:rPr>
        <w:t xml:space="preserve">its </w:t>
      </w:r>
      <w:r w:rsidRPr="004B2F56">
        <w:rPr>
          <w:rFonts w:cstheme="minorHAnsi"/>
        </w:rPr>
        <w:t xml:space="preserve">failure to adjudicate </w:t>
      </w:r>
      <w:proofErr w:type="spellStart"/>
      <w:r w:rsidRPr="004B2F56">
        <w:rPr>
          <w:rFonts w:cstheme="minorHAnsi"/>
        </w:rPr>
        <w:t>GHMSI’s</w:t>
      </w:r>
      <w:proofErr w:type="spellEnd"/>
      <w:r w:rsidRPr="004B2F56">
        <w:rPr>
          <w:rFonts w:cstheme="minorHAnsi"/>
        </w:rPr>
        <w:t xml:space="preserve"> surplus promptly</w:t>
      </w:r>
      <w:r w:rsidR="002C4172" w:rsidRPr="004B2F56">
        <w:rPr>
          <w:rFonts w:cstheme="minorHAnsi"/>
        </w:rPr>
        <w:t>,</w:t>
      </w:r>
      <w:r w:rsidRPr="004B2F56">
        <w:rPr>
          <w:rFonts w:cstheme="minorHAnsi"/>
        </w:rPr>
        <w:t xml:space="preserve"> and </w:t>
      </w:r>
      <w:r w:rsidR="002C4172" w:rsidRPr="004B2F56">
        <w:rPr>
          <w:rFonts w:cstheme="minorHAnsi"/>
        </w:rPr>
        <w:t xml:space="preserve">then its failure </w:t>
      </w:r>
      <w:r w:rsidRPr="004B2F56">
        <w:rPr>
          <w:rFonts w:cstheme="minorHAnsi"/>
        </w:rPr>
        <w:t xml:space="preserve">to comply with </w:t>
      </w:r>
      <w:proofErr w:type="spellStart"/>
      <w:r w:rsidRPr="004B2F56">
        <w:rPr>
          <w:rFonts w:cstheme="minorHAnsi"/>
        </w:rPr>
        <w:t>MIEAA</w:t>
      </w:r>
      <w:proofErr w:type="spellEnd"/>
      <w:r w:rsidRPr="004B2F56">
        <w:rPr>
          <w:rFonts w:cstheme="minorHAnsi"/>
        </w:rPr>
        <w:t xml:space="preserve"> when </w:t>
      </w:r>
      <w:r w:rsidR="002C4172" w:rsidRPr="004B2F56">
        <w:rPr>
          <w:rFonts w:cstheme="minorHAnsi"/>
        </w:rPr>
        <w:t>action was belatedly taken</w:t>
      </w:r>
      <w:r w:rsidR="001D6B75" w:rsidRPr="004B2F56">
        <w:rPr>
          <w:rFonts w:cstheme="minorHAnsi"/>
        </w:rPr>
        <w:t>, including as follows:</w:t>
      </w:r>
    </w:p>
    <w:p w:rsidR="007D3D8C" w:rsidRPr="004B2F56" w:rsidRDefault="007D3D8C" w:rsidP="008D3EDB">
      <w:pPr>
        <w:pStyle w:val="ListParagraph"/>
        <w:numPr>
          <w:ilvl w:val="0"/>
          <w:numId w:val="15"/>
        </w:numPr>
        <w:spacing w:after="240"/>
        <w:contextualSpacing w:val="0"/>
        <w:jc w:val="both"/>
        <w:rPr>
          <w:rFonts w:cstheme="minorHAnsi"/>
        </w:rPr>
      </w:pPr>
      <w:r w:rsidRPr="004B2F56">
        <w:rPr>
          <w:rFonts w:cstheme="minorHAnsi"/>
        </w:rPr>
        <w:t xml:space="preserve">Following enactment of </w:t>
      </w:r>
      <w:proofErr w:type="spellStart"/>
      <w:r w:rsidRPr="004B2F56">
        <w:rPr>
          <w:rFonts w:cstheme="minorHAnsi"/>
        </w:rPr>
        <w:t>MIEAA</w:t>
      </w:r>
      <w:proofErr w:type="spellEnd"/>
      <w:r w:rsidRPr="004B2F56">
        <w:rPr>
          <w:rFonts w:cstheme="minorHAnsi"/>
        </w:rPr>
        <w:t xml:space="preserve"> in January 2009, the Commissioner held a hearing </w:t>
      </w:r>
      <w:r w:rsidR="001D6B75" w:rsidRPr="004B2F56">
        <w:rPr>
          <w:rFonts w:cstheme="minorHAnsi"/>
        </w:rPr>
        <w:t xml:space="preserve">in September 2009 </w:t>
      </w:r>
      <w:r w:rsidRPr="004B2F56">
        <w:rPr>
          <w:rFonts w:cstheme="minorHAnsi"/>
        </w:rPr>
        <w:t>concerning compliance with the statute</w:t>
      </w:r>
      <w:r w:rsidR="001D6B75" w:rsidRPr="004B2F56">
        <w:rPr>
          <w:rFonts w:cstheme="minorHAnsi"/>
        </w:rPr>
        <w:t xml:space="preserve">; </w:t>
      </w:r>
    </w:p>
    <w:p w:rsidR="007D3D8C" w:rsidRPr="004B2F56" w:rsidRDefault="001D6B75" w:rsidP="008D3EDB">
      <w:pPr>
        <w:pStyle w:val="ListParagraph"/>
        <w:numPr>
          <w:ilvl w:val="0"/>
          <w:numId w:val="15"/>
        </w:numPr>
        <w:spacing w:after="240"/>
        <w:contextualSpacing w:val="0"/>
        <w:jc w:val="both"/>
        <w:rPr>
          <w:rFonts w:cstheme="minorHAnsi"/>
        </w:rPr>
      </w:pPr>
      <w:r w:rsidRPr="004B2F56">
        <w:rPr>
          <w:rFonts w:cstheme="minorHAnsi"/>
        </w:rPr>
        <w:t>It was m</w:t>
      </w:r>
      <w:r w:rsidR="007D3D8C" w:rsidRPr="004B2F56">
        <w:rPr>
          <w:rFonts w:cstheme="minorHAnsi"/>
        </w:rPr>
        <w:t>ore than a year later, in October 2010</w:t>
      </w:r>
      <w:r w:rsidRPr="004B2F56">
        <w:rPr>
          <w:rFonts w:cstheme="minorHAnsi"/>
        </w:rPr>
        <w:t>, before</w:t>
      </w:r>
      <w:r w:rsidR="007D3D8C" w:rsidRPr="004B2F56">
        <w:rPr>
          <w:rFonts w:cstheme="minorHAnsi"/>
        </w:rPr>
        <w:t xml:space="preserve"> the Commissioner issued a decision determining that </w:t>
      </w:r>
      <w:proofErr w:type="spellStart"/>
      <w:r w:rsidR="007D3D8C" w:rsidRPr="004B2F56">
        <w:rPr>
          <w:rFonts w:cstheme="minorHAnsi"/>
        </w:rPr>
        <w:t>GHMSI</w:t>
      </w:r>
      <w:proofErr w:type="spellEnd"/>
      <w:r w:rsidR="007D3D8C" w:rsidRPr="004B2F56">
        <w:rPr>
          <w:rFonts w:cstheme="minorHAnsi"/>
        </w:rPr>
        <w:t xml:space="preserve"> held no excess surplus</w:t>
      </w:r>
      <w:r w:rsidRPr="004B2F56">
        <w:rPr>
          <w:rFonts w:cstheme="minorHAnsi"/>
        </w:rPr>
        <w:t>;</w:t>
      </w:r>
    </w:p>
    <w:p w:rsidR="007D3D8C" w:rsidRPr="004B2F56" w:rsidRDefault="007D3D8C" w:rsidP="008D3EDB">
      <w:pPr>
        <w:pStyle w:val="ListParagraph"/>
        <w:numPr>
          <w:ilvl w:val="0"/>
          <w:numId w:val="15"/>
        </w:numPr>
        <w:spacing w:after="240"/>
        <w:contextualSpacing w:val="0"/>
        <w:jc w:val="both"/>
        <w:rPr>
          <w:rFonts w:cstheme="minorHAnsi"/>
        </w:rPr>
      </w:pPr>
      <w:r w:rsidRPr="004B2F56">
        <w:rPr>
          <w:rFonts w:cstheme="minorHAnsi"/>
        </w:rPr>
        <w:lastRenderedPageBreak/>
        <w:t>Appleseed promptly appealed th</w:t>
      </w:r>
      <w:r w:rsidR="001D6B75" w:rsidRPr="004B2F56">
        <w:rPr>
          <w:rFonts w:cstheme="minorHAnsi"/>
        </w:rPr>
        <w:t>at</w:t>
      </w:r>
      <w:r w:rsidRPr="004B2F56">
        <w:rPr>
          <w:rFonts w:cstheme="minorHAnsi"/>
        </w:rPr>
        <w:t xml:space="preserve"> decision, sought expedited review, and argued the appeal in June 2011.</w:t>
      </w:r>
      <w:r w:rsidR="007D4667">
        <w:rPr>
          <w:rFonts w:cstheme="minorHAnsi"/>
        </w:rPr>
        <w:t xml:space="preserve"> </w:t>
      </w:r>
      <w:proofErr w:type="spellStart"/>
      <w:r w:rsidRPr="004B2F56">
        <w:rPr>
          <w:rFonts w:cstheme="minorHAnsi"/>
        </w:rPr>
        <w:t>DISB</w:t>
      </w:r>
      <w:proofErr w:type="spellEnd"/>
      <w:r w:rsidRPr="004B2F56">
        <w:rPr>
          <w:rFonts w:cstheme="minorHAnsi"/>
        </w:rPr>
        <w:t xml:space="preserve"> did not participate in the argument, </w:t>
      </w:r>
      <w:r w:rsidR="00364C77">
        <w:rPr>
          <w:rFonts w:cstheme="minorHAnsi"/>
        </w:rPr>
        <w:t xml:space="preserve">but simply </w:t>
      </w:r>
      <w:r w:rsidR="006F6225">
        <w:rPr>
          <w:rFonts w:cstheme="minorHAnsi"/>
        </w:rPr>
        <w:t>asked that</w:t>
      </w:r>
      <w:r w:rsidR="001D6B75" w:rsidRPr="004B2F56">
        <w:rPr>
          <w:rFonts w:cstheme="minorHAnsi"/>
        </w:rPr>
        <w:t xml:space="preserve"> </w:t>
      </w:r>
      <w:r w:rsidRPr="004B2F56">
        <w:rPr>
          <w:rFonts w:cstheme="minorHAnsi"/>
        </w:rPr>
        <w:t>the Court summarily affirm the decision.</w:t>
      </w:r>
    </w:p>
    <w:p w:rsidR="007D3D8C" w:rsidRPr="004B2F56" w:rsidRDefault="007D3D8C" w:rsidP="008D3EDB">
      <w:pPr>
        <w:pStyle w:val="ListParagraph"/>
        <w:numPr>
          <w:ilvl w:val="0"/>
          <w:numId w:val="15"/>
        </w:numPr>
        <w:spacing w:after="240"/>
        <w:contextualSpacing w:val="0"/>
        <w:jc w:val="both"/>
        <w:rPr>
          <w:rFonts w:cstheme="minorHAnsi"/>
        </w:rPr>
      </w:pPr>
      <w:r w:rsidRPr="004B2F56">
        <w:rPr>
          <w:rFonts w:cstheme="minorHAnsi"/>
        </w:rPr>
        <w:t xml:space="preserve">In a lengthy September 2012 opinion, the Court reversed the Commissioner on two grounds: failure to apply </w:t>
      </w:r>
      <w:proofErr w:type="spellStart"/>
      <w:r w:rsidR="001D6B75" w:rsidRPr="004B2F56">
        <w:rPr>
          <w:rFonts w:cstheme="minorHAnsi"/>
        </w:rPr>
        <w:t>MIEAA’s</w:t>
      </w:r>
      <w:proofErr w:type="spellEnd"/>
      <w:r w:rsidR="001D6B75" w:rsidRPr="004B2F56">
        <w:rPr>
          <w:rFonts w:cstheme="minorHAnsi"/>
        </w:rPr>
        <w:t xml:space="preserve"> </w:t>
      </w:r>
      <w:r w:rsidRPr="004B2F56">
        <w:rPr>
          <w:rFonts w:cstheme="minorHAnsi"/>
        </w:rPr>
        <w:t xml:space="preserve">requirement that </w:t>
      </w:r>
      <w:proofErr w:type="spellStart"/>
      <w:r w:rsidRPr="004B2F56">
        <w:rPr>
          <w:rFonts w:cstheme="minorHAnsi"/>
        </w:rPr>
        <w:t>GHMSI</w:t>
      </w:r>
      <w:proofErr w:type="spellEnd"/>
      <w:r w:rsidRPr="004B2F56">
        <w:rPr>
          <w:rFonts w:cstheme="minorHAnsi"/>
        </w:rPr>
        <w:t xml:space="preserve"> commit the maximum feasible amount of its surplus to community health reinvestment, and failure to adequately explain </w:t>
      </w:r>
      <w:r w:rsidR="001D6B75" w:rsidRPr="004B2F56">
        <w:rPr>
          <w:rFonts w:cstheme="minorHAnsi"/>
        </w:rPr>
        <w:t xml:space="preserve">the </w:t>
      </w:r>
      <w:r w:rsidRPr="004B2F56">
        <w:rPr>
          <w:rFonts w:cstheme="minorHAnsi"/>
        </w:rPr>
        <w:t xml:space="preserve">determination that </w:t>
      </w:r>
      <w:proofErr w:type="spellStart"/>
      <w:r w:rsidRPr="004B2F56">
        <w:rPr>
          <w:rFonts w:cstheme="minorHAnsi"/>
        </w:rPr>
        <w:t>GHMSI</w:t>
      </w:r>
      <w:proofErr w:type="spellEnd"/>
      <w:r w:rsidRPr="004B2F56">
        <w:rPr>
          <w:rFonts w:cstheme="minorHAnsi"/>
        </w:rPr>
        <w:t xml:space="preserve"> had no excess surplus. The Court also indicated that to comply with </w:t>
      </w:r>
      <w:proofErr w:type="spellStart"/>
      <w:r w:rsidRPr="004B2F56">
        <w:rPr>
          <w:rFonts w:cstheme="minorHAnsi"/>
        </w:rPr>
        <w:t>MIEAA’s</w:t>
      </w:r>
      <w:proofErr w:type="spellEnd"/>
      <w:r w:rsidRPr="004B2F56">
        <w:rPr>
          <w:rFonts w:cstheme="minorHAnsi"/>
        </w:rPr>
        <w:t xml:space="preserve"> timing requirement for surplus reviews, the Commissioner should act on </w:t>
      </w:r>
      <w:r w:rsidR="0073465D" w:rsidRPr="004B2F56">
        <w:rPr>
          <w:rFonts w:cstheme="minorHAnsi"/>
        </w:rPr>
        <w:t xml:space="preserve">that </w:t>
      </w:r>
      <w:r w:rsidRPr="004B2F56">
        <w:rPr>
          <w:rFonts w:cstheme="minorHAnsi"/>
        </w:rPr>
        <w:t>remand no later than October 2013.</w:t>
      </w:r>
    </w:p>
    <w:p w:rsidR="007D3D8C" w:rsidRPr="004B2F56" w:rsidRDefault="007D3D8C" w:rsidP="008D3EDB">
      <w:pPr>
        <w:pStyle w:val="ListParagraph"/>
        <w:numPr>
          <w:ilvl w:val="0"/>
          <w:numId w:val="15"/>
        </w:numPr>
        <w:spacing w:after="240"/>
        <w:contextualSpacing w:val="0"/>
        <w:jc w:val="both"/>
        <w:rPr>
          <w:rFonts w:cstheme="minorHAnsi"/>
        </w:rPr>
      </w:pPr>
      <w:proofErr w:type="spellStart"/>
      <w:r w:rsidRPr="004B2F56">
        <w:rPr>
          <w:rFonts w:cstheme="minorHAnsi"/>
        </w:rPr>
        <w:t>DISB</w:t>
      </w:r>
      <w:proofErr w:type="spellEnd"/>
      <w:r w:rsidRPr="004B2F56">
        <w:rPr>
          <w:rFonts w:cstheme="minorHAnsi"/>
        </w:rPr>
        <w:t xml:space="preserve"> did not comply with th</w:t>
      </w:r>
      <w:r w:rsidR="0073465D" w:rsidRPr="004B2F56">
        <w:rPr>
          <w:rFonts w:cstheme="minorHAnsi"/>
        </w:rPr>
        <w:t>at</w:t>
      </w:r>
      <w:r w:rsidRPr="004B2F56">
        <w:rPr>
          <w:rFonts w:cstheme="minorHAnsi"/>
        </w:rPr>
        <w:t xml:space="preserve"> three-year deadline (which began to run at the time of the initial surplus review in 2010</w:t>
      </w:r>
      <w:r w:rsidR="00364C77">
        <w:rPr>
          <w:rFonts w:cstheme="minorHAnsi"/>
        </w:rPr>
        <w:t>)</w:t>
      </w:r>
      <w:r w:rsidRPr="004B2F56">
        <w:rPr>
          <w:rFonts w:cstheme="minorHAnsi"/>
        </w:rPr>
        <w:t xml:space="preserve">. Instead, in December 2013, the Commissioner’s expert, </w:t>
      </w:r>
      <w:r w:rsidR="00FC0E8F">
        <w:rPr>
          <w:rFonts w:cstheme="minorHAnsi"/>
        </w:rPr>
        <w:t xml:space="preserve">Rector </w:t>
      </w:r>
      <w:r w:rsidR="006F6225" w:rsidRPr="004B2F56">
        <w:rPr>
          <w:rFonts w:cstheme="minorHAnsi"/>
        </w:rPr>
        <w:t>&amp;</w:t>
      </w:r>
      <w:r w:rsidRPr="004B2F56">
        <w:rPr>
          <w:rFonts w:cstheme="minorHAnsi"/>
        </w:rPr>
        <w:t xml:space="preserve"> Associates (Rector), issued a report concluding – as it had in the first proceeding – that </w:t>
      </w:r>
      <w:proofErr w:type="spellStart"/>
      <w:r w:rsidRPr="004B2F56">
        <w:rPr>
          <w:rFonts w:cstheme="minorHAnsi"/>
        </w:rPr>
        <w:t>GHMSI</w:t>
      </w:r>
      <w:proofErr w:type="spellEnd"/>
      <w:r w:rsidRPr="004B2F56">
        <w:rPr>
          <w:rFonts w:cstheme="minorHAnsi"/>
        </w:rPr>
        <w:t xml:space="preserve"> had no excess surplus.</w:t>
      </w:r>
    </w:p>
    <w:p w:rsidR="007D3D8C" w:rsidRPr="004B2F56" w:rsidRDefault="007D3D8C" w:rsidP="008D3EDB">
      <w:pPr>
        <w:pStyle w:val="ListParagraph"/>
        <w:numPr>
          <w:ilvl w:val="0"/>
          <w:numId w:val="15"/>
        </w:numPr>
        <w:spacing w:after="240"/>
        <w:contextualSpacing w:val="0"/>
        <w:jc w:val="both"/>
        <w:rPr>
          <w:rFonts w:cstheme="minorHAnsi"/>
        </w:rPr>
      </w:pPr>
      <w:r w:rsidRPr="004B2F56">
        <w:rPr>
          <w:rFonts w:cstheme="minorHAnsi"/>
        </w:rPr>
        <w:t xml:space="preserve">Appleseed then sought information from the Commissioner explaining Rector’s conclusion. In June 2014, the Commissioner held a hearing on that conclusion and received supporting analysis from </w:t>
      </w:r>
      <w:proofErr w:type="spellStart"/>
      <w:r w:rsidRPr="004B2F56">
        <w:rPr>
          <w:rFonts w:cstheme="minorHAnsi"/>
        </w:rPr>
        <w:t>GHMSI</w:t>
      </w:r>
      <w:proofErr w:type="spellEnd"/>
      <w:r w:rsidRPr="004B2F56">
        <w:rPr>
          <w:rFonts w:cstheme="minorHAnsi"/>
        </w:rPr>
        <w:t xml:space="preserve"> and its actuarial expert, as well as contrary analysis from Appleseed and its actuarial expert.</w:t>
      </w:r>
    </w:p>
    <w:p w:rsidR="007D3D8C" w:rsidRPr="004B2F56" w:rsidRDefault="007D3D8C" w:rsidP="008D3EDB">
      <w:pPr>
        <w:pStyle w:val="ListParagraph"/>
        <w:numPr>
          <w:ilvl w:val="0"/>
          <w:numId w:val="15"/>
        </w:numPr>
        <w:spacing w:after="240"/>
        <w:contextualSpacing w:val="0"/>
        <w:jc w:val="both"/>
        <w:rPr>
          <w:rFonts w:cstheme="minorHAnsi"/>
        </w:rPr>
      </w:pPr>
      <w:r w:rsidRPr="004B2F56">
        <w:rPr>
          <w:rFonts w:cstheme="minorHAnsi"/>
        </w:rPr>
        <w:t>In December 2014, the Commissioner issue</w:t>
      </w:r>
      <w:r w:rsidR="008E7F91">
        <w:rPr>
          <w:rFonts w:cstheme="minorHAnsi"/>
        </w:rPr>
        <w:t>d a final opinion agreeing with Appleseed</w:t>
      </w:r>
      <w:r w:rsidRPr="004B2F56">
        <w:rPr>
          <w:rFonts w:cstheme="minorHAnsi"/>
        </w:rPr>
        <w:t xml:space="preserve"> that </w:t>
      </w:r>
      <w:proofErr w:type="spellStart"/>
      <w:r w:rsidRPr="004B2F56">
        <w:rPr>
          <w:rFonts w:cstheme="minorHAnsi"/>
        </w:rPr>
        <w:t>GHMSI</w:t>
      </w:r>
      <w:proofErr w:type="spellEnd"/>
      <w:r w:rsidRPr="004B2F56">
        <w:rPr>
          <w:rFonts w:cstheme="minorHAnsi"/>
        </w:rPr>
        <w:t xml:space="preserve"> held excess surplus ($268 million) and finding</w:t>
      </w:r>
      <w:r w:rsidR="007D4667">
        <w:rPr>
          <w:rFonts w:cstheme="minorHAnsi"/>
        </w:rPr>
        <w:t xml:space="preserve"> </w:t>
      </w:r>
      <w:r w:rsidRPr="004B2F56">
        <w:rPr>
          <w:rFonts w:cstheme="minorHAnsi"/>
        </w:rPr>
        <w:t xml:space="preserve">that 21% of that excess </w:t>
      </w:r>
      <w:r w:rsidR="0073465D" w:rsidRPr="004B2F56">
        <w:rPr>
          <w:rFonts w:cstheme="minorHAnsi"/>
        </w:rPr>
        <w:t>($5</w:t>
      </w:r>
      <w:r w:rsidR="006F6225">
        <w:rPr>
          <w:rFonts w:cstheme="minorHAnsi"/>
        </w:rPr>
        <w:t>6 million, later reduced to $51 million)</w:t>
      </w:r>
      <w:r w:rsidR="0073465D" w:rsidRPr="004B2F56">
        <w:rPr>
          <w:rFonts w:cstheme="minorHAnsi"/>
        </w:rPr>
        <w:t xml:space="preserve"> </w:t>
      </w:r>
      <w:r w:rsidRPr="004B2F56">
        <w:rPr>
          <w:rFonts w:cstheme="minorHAnsi"/>
        </w:rPr>
        <w:t>should be committed to health reinvestment in the District.</w:t>
      </w:r>
      <w:r w:rsidR="009003EB">
        <w:rPr>
          <w:rFonts w:cstheme="minorHAnsi"/>
        </w:rPr>
        <w:t xml:space="preserve"> </w:t>
      </w:r>
      <w:r w:rsidR="008E7F91">
        <w:rPr>
          <w:rFonts w:cstheme="minorHAnsi"/>
        </w:rPr>
        <w:t>Appleseed</w:t>
      </w:r>
      <w:r w:rsidRPr="004B2F56">
        <w:rPr>
          <w:rFonts w:cstheme="minorHAnsi"/>
        </w:rPr>
        <w:t xml:space="preserve">, however, contended that both </w:t>
      </w:r>
      <w:proofErr w:type="spellStart"/>
      <w:r w:rsidRPr="004B2F56">
        <w:rPr>
          <w:rFonts w:cstheme="minorHAnsi"/>
        </w:rPr>
        <w:t>GHMSI’s</w:t>
      </w:r>
      <w:proofErr w:type="spellEnd"/>
      <w:r w:rsidRPr="004B2F56">
        <w:rPr>
          <w:rFonts w:cstheme="minorHAnsi"/>
        </w:rPr>
        <w:t xml:space="preserve"> excess surplus and the portion attributable to the District were much larger.</w:t>
      </w:r>
    </w:p>
    <w:p w:rsidR="007D3D8C" w:rsidRPr="004B2F56" w:rsidRDefault="007D3D8C" w:rsidP="008D3EDB">
      <w:pPr>
        <w:pStyle w:val="ListParagraph"/>
        <w:numPr>
          <w:ilvl w:val="0"/>
          <w:numId w:val="15"/>
        </w:numPr>
        <w:spacing w:after="240"/>
        <w:contextualSpacing w:val="0"/>
        <w:jc w:val="both"/>
        <w:rPr>
          <w:rFonts w:cstheme="minorHAnsi"/>
        </w:rPr>
      </w:pPr>
      <w:r w:rsidRPr="004B2F56">
        <w:rPr>
          <w:rFonts w:cstheme="minorHAnsi"/>
        </w:rPr>
        <w:t xml:space="preserve">The Commissioner ordered </w:t>
      </w:r>
      <w:proofErr w:type="spellStart"/>
      <w:r w:rsidRPr="004B2F56">
        <w:rPr>
          <w:rFonts w:cstheme="minorHAnsi"/>
        </w:rPr>
        <w:t>GHMSI</w:t>
      </w:r>
      <w:proofErr w:type="spellEnd"/>
      <w:r w:rsidRPr="004B2F56">
        <w:rPr>
          <w:rFonts w:cstheme="minorHAnsi"/>
        </w:rPr>
        <w:t xml:space="preserve"> to file a plan by March 2015 to spend down </w:t>
      </w:r>
      <w:r w:rsidR="006F6225" w:rsidRPr="004B2F56">
        <w:rPr>
          <w:rFonts w:cstheme="minorHAnsi"/>
        </w:rPr>
        <w:t>the excess</w:t>
      </w:r>
      <w:r w:rsidRPr="004B2F56">
        <w:rPr>
          <w:rFonts w:cstheme="minorHAnsi"/>
        </w:rPr>
        <w:t xml:space="preserve"> surplus the Commissioner found attributable to the District. When </w:t>
      </w:r>
      <w:proofErr w:type="spellStart"/>
      <w:r w:rsidRPr="004B2F56">
        <w:rPr>
          <w:rFonts w:cstheme="minorHAnsi"/>
        </w:rPr>
        <w:t>GHMSI</w:t>
      </w:r>
      <w:proofErr w:type="spellEnd"/>
      <w:r w:rsidRPr="004B2F56">
        <w:rPr>
          <w:rFonts w:cstheme="minorHAnsi"/>
        </w:rPr>
        <w:t xml:space="preserve"> did not comply with this order, the Commissioner then took more than a year – until August 2016 – to issue a plan of his own, which required </w:t>
      </w:r>
      <w:proofErr w:type="spellStart"/>
      <w:r w:rsidRPr="004B2F56">
        <w:rPr>
          <w:rFonts w:cstheme="minorHAnsi"/>
        </w:rPr>
        <w:t>GHMSI</w:t>
      </w:r>
      <w:proofErr w:type="spellEnd"/>
      <w:r w:rsidRPr="004B2F56">
        <w:rPr>
          <w:rFonts w:cstheme="minorHAnsi"/>
        </w:rPr>
        <w:t xml:space="preserve"> to rebate the $51 million to its current subscribers. </w:t>
      </w:r>
    </w:p>
    <w:p w:rsidR="007D3D8C" w:rsidRPr="004B2F56" w:rsidRDefault="007D3D8C" w:rsidP="008D3EDB">
      <w:pPr>
        <w:pStyle w:val="ListParagraph"/>
        <w:numPr>
          <w:ilvl w:val="0"/>
          <w:numId w:val="15"/>
        </w:numPr>
        <w:spacing w:after="240"/>
        <w:contextualSpacing w:val="0"/>
        <w:jc w:val="both"/>
        <w:rPr>
          <w:rFonts w:cstheme="minorHAnsi"/>
        </w:rPr>
      </w:pPr>
      <w:proofErr w:type="spellStart"/>
      <w:r w:rsidRPr="004B2F56">
        <w:rPr>
          <w:rFonts w:cstheme="minorHAnsi"/>
        </w:rPr>
        <w:t>GHMSI</w:t>
      </w:r>
      <w:proofErr w:type="spellEnd"/>
      <w:r w:rsidRPr="004B2F56">
        <w:rPr>
          <w:rFonts w:cstheme="minorHAnsi"/>
        </w:rPr>
        <w:t xml:space="preserve"> then filed a motion for reconsideration of the August 2016 order</w:t>
      </w:r>
      <w:r w:rsidR="0073465D" w:rsidRPr="004B2F56">
        <w:rPr>
          <w:rFonts w:cstheme="minorHAnsi"/>
        </w:rPr>
        <w:t>.</w:t>
      </w:r>
      <w:r w:rsidR="007D4667">
        <w:rPr>
          <w:rFonts w:cstheme="minorHAnsi"/>
        </w:rPr>
        <w:t xml:space="preserve"> </w:t>
      </w:r>
      <w:r w:rsidR="0073465D" w:rsidRPr="004B2F56">
        <w:rPr>
          <w:rFonts w:cstheme="minorHAnsi"/>
        </w:rPr>
        <w:t xml:space="preserve">The </w:t>
      </w:r>
      <w:r w:rsidRPr="004B2F56">
        <w:rPr>
          <w:rFonts w:cstheme="minorHAnsi"/>
        </w:rPr>
        <w:t xml:space="preserve">Commissioner </w:t>
      </w:r>
      <w:r w:rsidR="0073465D" w:rsidRPr="004B2F56">
        <w:rPr>
          <w:rFonts w:cstheme="minorHAnsi"/>
        </w:rPr>
        <w:t xml:space="preserve">denied that motion, but not until </w:t>
      </w:r>
      <w:r w:rsidRPr="004B2F56">
        <w:rPr>
          <w:rFonts w:cstheme="minorHAnsi"/>
        </w:rPr>
        <w:t>February 2018. During th</w:t>
      </w:r>
      <w:r w:rsidR="0073465D" w:rsidRPr="004B2F56">
        <w:rPr>
          <w:rFonts w:cstheme="minorHAnsi"/>
        </w:rPr>
        <w:t>at</w:t>
      </w:r>
      <w:r w:rsidRPr="004B2F56">
        <w:rPr>
          <w:rFonts w:cstheme="minorHAnsi"/>
        </w:rPr>
        <w:t xml:space="preserve"> year-and-a-half delay, </w:t>
      </w:r>
      <w:proofErr w:type="spellStart"/>
      <w:r w:rsidRPr="004B2F56">
        <w:rPr>
          <w:rFonts w:cstheme="minorHAnsi"/>
        </w:rPr>
        <w:t>DISB</w:t>
      </w:r>
      <w:proofErr w:type="spellEnd"/>
      <w:r w:rsidRPr="004B2F56">
        <w:rPr>
          <w:rFonts w:cstheme="minorHAnsi"/>
        </w:rPr>
        <w:t xml:space="preserve"> staff and </w:t>
      </w:r>
      <w:proofErr w:type="spellStart"/>
      <w:r w:rsidRPr="004B2F56">
        <w:rPr>
          <w:rFonts w:cstheme="minorHAnsi"/>
        </w:rPr>
        <w:t>GHMSI</w:t>
      </w:r>
      <w:proofErr w:type="spellEnd"/>
      <w:r w:rsidRPr="004B2F56">
        <w:rPr>
          <w:rFonts w:cstheme="minorHAnsi"/>
        </w:rPr>
        <w:t xml:space="preserve"> – without Appleseed’s knowledge – agreed on a possible settlement that </w:t>
      </w:r>
      <w:proofErr w:type="spellStart"/>
      <w:r w:rsidRPr="004B2F56">
        <w:rPr>
          <w:rFonts w:cstheme="minorHAnsi"/>
        </w:rPr>
        <w:t>GHMSI</w:t>
      </w:r>
      <w:proofErr w:type="spellEnd"/>
      <w:r w:rsidRPr="004B2F56">
        <w:rPr>
          <w:rFonts w:cstheme="minorHAnsi"/>
        </w:rPr>
        <w:t xml:space="preserve"> had submitted to the Commissioner. When</w:t>
      </w:r>
      <w:r w:rsidR="009003EB">
        <w:rPr>
          <w:rFonts w:cstheme="minorHAnsi"/>
        </w:rPr>
        <w:t xml:space="preserve"> </w:t>
      </w:r>
      <w:r w:rsidR="008E7F91">
        <w:rPr>
          <w:rFonts w:cstheme="minorHAnsi"/>
        </w:rPr>
        <w:t>Appleseed</w:t>
      </w:r>
      <w:r w:rsidRPr="004B2F56">
        <w:rPr>
          <w:rFonts w:cstheme="minorHAnsi"/>
        </w:rPr>
        <w:t xml:space="preserve"> demonstrated that the proposed settlement contained several terms out of compliance with </w:t>
      </w:r>
      <w:proofErr w:type="spellStart"/>
      <w:r w:rsidRPr="004B2F56">
        <w:rPr>
          <w:rFonts w:cstheme="minorHAnsi"/>
        </w:rPr>
        <w:t>MIEAA</w:t>
      </w:r>
      <w:proofErr w:type="spellEnd"/>
      <w:r w:rsidRPr="004B2F56">
        <w:rPr>
          <w:rFonts w:cstheme="minorHAnsi"/>
        </w:rPr>
        <w:t xml:space="preserve">, the Commissioner submitted a revised settlement for </w:t>
      </w:r>
      <w:proofErr w:type="spellStart"/>
      <w:r w:rsidRPr="004B2F56">
        <w:rPr>
          <w:rFonts w:cstheme="minorHAnsi"/>
        </w:rPr>
        <w:t>GHMSI’s</w:t>
      </w:r>
      <w:proofErr w:type="spellEnd"/>
      <w:r w:rsidRPr="004B2F56">
        <w:rPr>
          <w:rFonts w:cstheme="minorHAnsi"/>
        </w:rPr>
        <w:t xml:space="preserve"> review; </w:t>
      </w:r>
      <w:proofErr w:type="spellStart"/>
      <w:r w:rsidRPr="004B2F56">
        <w:rPr>
          <w:rFonts w:cstheme="minorHAnsi"/>
        </w:rPr>
        <w:t>GHMSI</w:t>
      </w:r>
      <w:proofErr w:type="spellEnd"/>
      <w:r w:rsidRPr="004B2F56">
        <w:rPr>
          <w:rFonts w:cstheme="minorHAnsi"/>
        </w:rPr>
        <w:t xml:space="preserve"> rejected the revised settlement in September 2017. When </w:t>
      </w:r>
      <w:proofErr w:type="spellStart"/>
      <w:r w:rsidRPr="004B2F56">
        <w:rPr>
          <w:rFonts w:cstheme="minorHAnsi"/>
        </w:rPr>
        <w:t>DISB</w:t>
      </w:r>
      <w:proofErr w:type="spellEnd"/>
      <w:r w:rsidRPr="004B2F56">
        <w:rPr>
          <w:rFonts w:cstheme="minorHAnsi"/>
        </w:rPr>
        <w:t xml:space="preserve"> took no further action,</w:t>
      </w:r>
      <w:r w:rsidR="009003EB">
        <w:rPr>
          <w:rFonts w:cstheme="minorHAnsi"/>
        </w:rPr>
        <w:t xml:space="preserve"> </w:t>
      </w:r>
      <w:r w:rsidR="008E7F91">
        <w:rPr>
          <w:rFonts w:cstheme="minorHAnsi"/>
        </w:rPr>
        <w:t>Appleseed</w:t>
      </w:r>
      <w:r w:rsidRPr="004B2F56">
        <w:rPr>
          <w:rFonts w:cstheme="minorHAnsi"/>
        </w:rPr>
        <w:t xml:space="preserve"> asked the D.C. Court of Appeals to issue a mandamus order requiring the Commissioner to end further delay by ruling on </w:t>
      </w:r>
      <w:proofErr w:type="spellStart"/>
      <w:r w:rsidRPr="004B2F56">
        <w:rPr>
          <w:rFonts w:cstheme="minorHAnsi"/>
        </w:rPr>
        <w:t>GHMSI’s</w:t>
      </w:r>
      <w:proofErr w:type="spellEnd"/>
      <w:r w:rsidRPr="004B2F56">
        <w:rPr>
          <w:rFonts w:cstheme="minorHAnsi"/>
        </w:rPr>
        <w:t xml:space="preserve"> long-pending motion for reconsideration. The Court issued a mandamus order in January 2018 requiring the </w:t>
      </w:r>
      <w:r w:rsidRPr="004B2F56">
        <w:rPr>
          <w:rFonts w:cstheme="minorHAnsi"/>
        </w:rPr>
        <w:lastRenderedPageBreak/>
        <w:t xml:space="preserve">Commissioner to act in February 2018, which he did – repeating the Commissioner’s earlier requirement that </w:t>
      </w:r>
      <w:proofErr w:type="spellStart"/>
      <w:r w:rsidRPr="004B2F56">
        <w:rPr>
          <w:rFonts w:cstheme="minorHAnsi"/>
        </w:rPr>
        <w:t>GHMSI</w:t>
      </w:r>
      <w:proofErr w:type="spellEnd"/>
      <w:r w:rsidRPr="004B2F56">
        <w:rPr>
          <w:rFonts w:cstheme="minorHAnsi"/>
        </w:rPr>
        <w:t xml:space="preserve"> rebate $51 million to subscribers as of August 2016.</w:t>
      </w:r>
    </w:p>
    <w:p w:rsidR="007D3D8C" w:rsidRPr="004B2F56" w:rsidRDefault="008E7F91" w:rsidP="008D3EDB">
      <w:pPr>
        <w:pStyle w:val="ListParagraph"/>
        <w:numPr>
          <w:ilvl w:val="0"/>
          <w:numId w:val="15"/>
        </w:numPr>
        <w:spacing w:after="240"/>
        <w:contextualSpacing w:val="0"/>
        <w:jc w:val="both"/>
        <w:rPr>
          <w:rFonts w:cstheme="minorHAnsi"/>
        </w:rPr>
      </w:pPr>
      <w:r>
        <w:rPr>
          <w:rFonts w:cstheme="minorHAnsi"/>
        </w:rPr>
        <w:t>Appleseed</w:t>
      </w:r>
      <w:r w:rsidR="007D3D8C" w:rsidRPr="004B2F56">
        <w:rPr>
          <w:rFonts w:cstheme="minorHAnsi"/>
        </w:rPr>
        <w:t xml:space="preserve"> appealed the Commissioner’s February 2018 order. The appeal was argued </w:t>
      </w:r>
      <w:r w:rsidR="00F038E0" w:rsidRPr="004B2F56">
        <w:rPr>
          <w:rFonts w:cstheme="minorHAnsi"/>
        </w:rPr>
        <w:t xml:space="preserve">in </w:t>
      </w:r>
      <w:r w:rsidR="007D3D8C" w:rsidRPr="004B2F56">
        <w:rPr>
          <w:rFonts w:cstheme="minorHAnsi"/>
        </w:rPr>
        <w:t xml:space="preserve">April 2019, </w:t>
      </w:r>
      <w:r w:rsidR="00F038E0" w:rsidRPr="004B2F56">
        <w:rPr>
          <w:rFonts w:cstheme="minorHAnsi"/>
        </w:rPr>
        <w:t xml:space="preserve">and </w:t>
      </w:r>
      <w:r w:rsidR="007D3D8C" w:rsidRPr="004B2F56">
        <w:rPr>
          <w:rFonts w:cstheme="minorHAnsi"/>
        </w:rPr>
        <w:t xml:space="preserve">the Court, working under an expedited schedule, issued an opinion just four months later, on August 29, 2019. The Court </w:t>
      </w:r>
      <w:r w:rsidR="00F038E0" w:rsidRPr="004B2F56">
        <w:rPr>
          <w:rFonts w:cstheme="minorHAnsi"/>
        </w:rPr>
        <w:t xml:space="preserve">upheld the </w:t>
      </w:r>
      <w:r w:rsidR="007D3D8C" w:rsidRPr="004B2F56">
        <w:rPr>
          <w:rFonts w:cstheme="minorHAnsi"/>
        </w:rPr>
        <w:t xml:space="preserve">determination that </w:t>
      </w:r>
      <w:proofErr w:type="spellStart"/>
      <w:r w:rsidR="007D3D8C" w:rsidRPr="004B2F56">
        <w:rPr>
          <w:rFonts w:cstheme="minorHAnsi"/>
        </w:rPr>
        <w:t>GHMSI</w:t>
      </w:r>
      <w:proofErr w:type="spellEnd"/>
      <w:r w:rsidR="007D3D8C" w:rsidRPr="004B2F56">
        <w:rPr>
          <w:rFonts w:cstheme="minorHAnsi"/>
        </w:rPr>
        <w:t xml:space="preserve"> has a minimum excess surplus of $51 million, and </w:t>
      </w:r>
      <w:r w:rsidR="00F038E0" w:rsidRPr="004B2F56">
        <w:rPr>
          <w:rFonts w:cstheme="minorHAnsi"/>
        </w:rPr>
        <w:t xml:space="preserve">it also </w:t>
      </w:r>
      <w:r w:rsidR="007D3D8C" w:rsidRPr="004B2F56">
        <w:rPr>
          <w:rFonts w:cstheme="minorHAnsi"/>
        </w:rPr>
        <w:t>identif</w:t>
      </w:r>
      <w:r w:rsidR="00F038E0" w:rsidRPr="004B2F56">
        <w:rPr>
          <w:rFonts w:cstheme="minorHAnsi"/>
        </w:rPr>
        <w:t xml:space="preserve">ied </w:t>
      </w:r>
      <w:r w:rsidR="007D3D8C" w:rsidRPr="004B2F56">
        <w:rPr>
          <w:rFonts w:cstheme="minorHAnsi"/>
        </w:rPr>
        <w:t>five issues that remain to be addressed adequately by the Commissioner</w:t>
      </w:r>
      <w:r w:rsidR="00F038E0" w:rsidRPr="004B2F56">
        <w:rPr>
          <w:rFonts w:cstheme="minorHAnsi"/>
        </w:rPr>
        <w:t>, which are necessary to determine the full amount of the excess surplus beyond the affirmed $51 million</w:t>
      </w:r>
      <w:r w:rsidR="007D3D8C" w:rsidRPr="004B2F56">
        <w:rPr>
          <w:rFonts w:cstheme="minorHAnsi"/>
        </w:rPr>
        <w:t>.</w:t>
      </w:r>
    </w:p>
    <w:p w:rsidR="007D3D8C" w:rsidRPr="004B2F56" w:rsidRDefault="007D3D8C" w:rsidP="008D3EDB">
      <w:pPr>
        <w:pStyle w:val="ListParagraph"/>
        <w:numPr>
          <w:ilvl w:val="0"/>
          <w:numId w:val="15"/>
        </w:numPr>
        <w:spacing w:after="240"/>
        <w:contextualSpacing w:val="0"/>
        <w:jc w:val="both"/>
        <w:rPr>
          <w:rFonts w:cstheme="minorHAnsi"/>
        </w:rPr>
      </w:pPr>
      <w:r w:rsidRPr="004B2F56">
        <w:rPr>
          <w:rFonts w:cstheme="minorHAnsi"/>
        </w:rPr>
        <w:t xml:space="preserve">On November 13, 2019, after the </w:t>
      </w:r>
      <w:proofErr w:type="spellStart"/>
      <w:r w:rsidRPr="004B2F56">
        <w:rPr>
          <w:rFonts w:cstheme="minorHAnsi"/>
        </w:rPr>
        <w:t>DISB</w:t>
      </w:r>
      <w:proofErr w:type="spellEnd"/>
      <w:r w:rsidRPr="004B2F56">
        <w:rPr>
          <w:rFonts w:cstheme="minorHAnsi"/>
        </w:rPr>
        <w:t xml:space="preserve"> failed to </w:t>
      </w:r>
      <w:r w:rsidR="00F038E0" w:rsidRPr="004B2F56">
        <w:rPr>
          <w:rFonts w:cstheme="minorHAnsi"/>
        </w:rPr>
        <w:t xml:space="preserve">take action on the remand from </w:t>
      </w:r>
      <w:r w:rsidRPr="004B2F56">
        <w:rPr>
          <w:rFonts w:cstheme="minorHAnsi"/>
        </w:rPr>
        <w:t>the Court’s August 29 opinion,</w:t>
      </w:r>
      <w:r w:rsidR="009003EB">
        <w:rPr>
          <w:rFonts w:cstheme="minorHAnsi"/>
        </w:rPr>
        <w:t xml:space="preserve"> </w:t>
      </w:r>
      <w:r w:rsidR="008E7F91">
        <w:rPr>
          <w:rFonts w:cstheme="minorHAnsi"/>
        </w:rPr>
        <w:t>Appleseed</w:t>
      </w:r>
      <w:r w:rsidRPr="004B2F56">
        <w:rPr>
          <w:rFonts w:cstheme="minorHAnsi"/>
        </w:rPr>
        <w:t xml:space="preserve"> filed a </w:t>
      </w:r>
      <w:r w:rsidR="006F6225">
        <w:rPr>
          <w:rFonts w:cstheme="minorHAnsi"/>
        </w:rPr>
        <w:t>request</w:t>
      </w:r>
      <w:r w:rsidRPr="004B2F56">
        <w:rPr>
          <w:rFonts w:cstheme="minorHAnsi"/>
        </w:rPr>
        <w:t xml:space="preserve"> with </w:t>
      </w:r>
      <w:proofErr w:type="spellStart"/>
      <w:r w:rsidRPr="004B2F56">
        <w:rPr>
          <w:rFonts w:cstheme="minorHAnsi"/>
        </w:rPr>
        <w:t>DISB</w:t>
      </w:r>
      <w:proofErr w:type="spellEnd"/>
      <w:r w:rsidRPr="004B2F56">
        <w:rPr>
          <w:rFonts w:cstheme="minorHAnsi"/>
        </w:rPr>
        <w:t xml:space="preserve">, urging the Commissioner to act promptly in response to the Court’s decision and </w:t>
      </w:r>
      <w:r w:rsidR="00F038E0" w:rsidRPr="004B2F56">
        <w:rPr>
          <w:rFonts w:cstheme="minorHAnsi"/>
        </w:rPr>
        <w:t xml:space="preserve">to </w:t>
      </w:r>
      <w:r w:rsidRPr="004B2F56">
        <w:rPr>
          <w:rFonts w:cstheme="minorHAnsi"/>
        </w:rPr>
        <w:t>issue a final order.</w:t>
      </w:r>
    </w:p>
    <w:p w:rsidR="007D3D8C" w:rsidRPr="004B2F56" w:rsidRDefault="007D3D8C" w:rsidP="008D3EDB">
      <w:pPr>
        <w:pStyle w:val="ListParagraph"/>
        <w:numPr>
          <w:ilvl w:val="0"/>
          <w:numId w:val="15"/>
        </w:numPr>
        <w:spacing w:after="240"/>
        <w:contextualSpacing w:val="0"/>
        <w:jc w:val="both"/>
        <w:rPr>
          <w:rFonts w:cstheme="minorHAnsi"/>
        </w:rPr>
      </w:pPr>
      <w:r w:rsidRPr="004B2F56">
        <w:rPr>
          <w:rFonts w:cstheme="minorHAnsi"/>
        </w:rPr>
        <w:t>On April 6, 2020,</w:t>
      </w:r>
      <w:r w:rsidR="009003EB">
        <w:rPr>
          <w:rFonts w:cstheme="minorHAnsi"/>
        </w:rPr>
        <w:t xml:space="preserve"> </w:t>
      </w:r>
      <w:r w:rsidR="008E7F91">
        <w:rPr>
          <w:rFonts w:cstheme="minorHAnsi"/>
        </w:rPr>
        <w:t>Appleseed</w:t>
      </w:r>
      <w:r w:rsidRPr="004B2F56">
        <w:rPr>
          <w:rFonts w:cstheme="minorHAnsi"/>
        </w:rPr>
        <w:t xml:space="preserve"> and Councilmember Mary </w:t>
      </w:r>
      <w:proofErr w:type="spellStart"/>
      <w:r w:rsidRPr="004B2F56">
        <w:rPr>
          <w:rFonts w:cstheme="minorHAnsi"/>
        </w:rPr>
        <w:t>Cheh</w:t>
      </w:r>
      <w:proofErr w:type="spellEnd"/>
      <w:r w:rsidRPr="004B2F56">
        <w:rPr>
          <w:rFonts w:cstheme="minorHAnsi"/>
        </w:rPr>
        <w:t xml:space="preserve"> wrote a letter to the current </w:t>
      </w:r>
      <w:proofErr w:type="spellStart"/>
      <w:r w:rsidRPr="004B2F56">
        <w:rPr>
          <w:rFonts w:cstheme="minorHAnsi"/>
        </w:rPr>
        <w:t>DISB</w:t>
      </w:r>
      <w:proofErr w:type="spellEnd"/>
      <w:r w:rsidRPr="004B2F56">
        <w:rPr>
          <w:rFonts w:cstheme="minorHAnsi"/>
        </w:rPr>
        <w:t xml:space="preserve"> Commissioner, who was appointed on January 21, 2020, urging her to order the spend down </w:t>
      </w:r>
      <w:r w:rsidR="00B8596C" w:rsidRPr="004B2F56">
        <w:rPr>
          <w:rFonts w:cstheme="minorHAnsi"/>
        </w:rPr>
        <w:t xml:space="preserve">by </w:t>
      </w:r>
      <w:proofErr w:type="spellStart"/>
      <w:r w:rsidR="00B8596C" w:rsidRPr="004B2F56">
        <w:rPr>
          <w:rFonts w:cstheme="minorHAnsi"/>
        </w:rPr>
        <w:t>GHMSI</w:t>
      </w:r>
      <w:proofErr w:type="spellEnd"/>
      <w:r w:rsidR="00B8596C" w:rsidRPr="004B2F56">
        <w:rPr>
          <w:rFonts w:cstheme="minorHAnsi"/>
        </w:rPr>
        <w:t xml:space="preserve"> </w:t>
      </w:r>
      <w:r w:rsidRPr="004B2F56">
        <w:rPr>
          <w:rFonts w:cstheme="minorHAnsi"/>
        </w:rPr>
        <w:t>of the $51 million and to address the five issues remanded by the Court.</w:t>
      </w:r>
    </w:p>
    <w:p w:rsidR="007D3D8C" w:rsidRPr="004B2F56" w:rsidRDefault="007D3D8C" w:rsidP="008D3EDB">
      <w:pPr>
        <w:pStyle w:val="ListParagraph"/>
        <w:numPr>
          <w:ilvl w:val="0"/>
          <w:numId w:val="15"/>
        </w:numPr>
        <w:spacing w:after="240"/>
        <w:contextualSpacing w:val="0"/>
        <w:jc w:val="both"/>
        <w:rPr>
          <w:rFonts w:cstheme="minorHAnsi"/>
        </w:rPr>
      </w:pPr>
      <w:proofErr w:type="spellStart"/>
      <w:r w:rsidRPr="004B2F56">
        <w:rPr>
          <w:rFonts w:cstheme="minorHAnsi"/>
        </w:rPr>
        <w:t>DISB</w:t>
      </w:r>
      <w:proofErr w:type="spellEnd"/>
      <w:r w:rsidRPr="004B2F56">
        <w:rPr>
          <w:rFonts w:cstheme="minorHAnsi"/>
        </w:rPr>
        <w:t xml:space="preserve"> has</w:t>
      </w:r>
      <w:r w:rsidR="00B8596C" w:rsidRPr="004B2F56">
        <w:rPr>
          <w:rFonts w:cstheme="minorHAnsi"/>
        </w:rPr>
        <w:t xml:space="preserve"> not yet</w:t>
      </w:r>
      <w:r w:rsidRPr="004B2F56">
        <w:rPr>
          <w:rFonts w:cstheme="minorHAnsi"/>
        </w:rPr>
        <w:t xml:space="preserve"> taken action in response to the Court’s August 29, 2019 decision, but on February 27, 2020, the new Commissioner issued an order indicating that the case was before her on remand from the Court of Appeals. On</w:t>
      </w:r>
      <w:r w:rsidR="00DC0004">
        <w:rPr>
          <w:rFonts w:cstheme="minorHAnsi"/>
        </w:rPr>
        <w:t xml:space="preserve"> </w:t>
      </w:r>
      <w:r w:rsidR="00323119">
        <w:rPr>
          <w:rFonts w:cstheme="minorHAnsi"/>
        </w:rPr>
        <w:t>April 6, 2020</w:t>
      </w:r>
      <w:r w:rsidR="00DC0004">
        <w:rPr>
          <w:rFonts w:cstheme="minorHAnsi"/>
        </w:rPr>
        <w:t>,</w:t>
      </w:r>
      <w:r w:rsidRPr="004B2F56">
        <w:rPr>
          <w:rFonts w:cstheme="minorHAnsi"/>
        </w:rPr>
        <w:t xml:space="preserve"> she indicated that she would be responding to the Councilmember </w:t>
      </w:r>
      <w:proofErr w:type="spellStart"/>
      <w:r w:rsidRPr="004B2F56">
        <w:rPr>
          <w:rFonts w:cstheme="minorHAnsi"/>
        </w:rPr>
        <w:t>Cheh</w:t>
      </w:r>
      <w:proofErr w:type="spellEnd"/>
      <w:r w:rsidRPr="004B2F56">
        <w:rPr>
          <w:rFonts w:cstheme="minorHAnsi"/>
        </w:rPr>
        <w:t>/</w:t>
      </w:r>
      <w:r w:rsidR="008E7F91">
        <w:rPr>
          <w:rFonts w:cstheme="minorHAnsi"/>
        </w:rPr>
        <w:t>Appleseed</w:t>
      </w:r>
      <w:r w:rsidRPr="004B2F56">
        <w:rPr>
          <w:rFonts w:cstheme="minorHAnsi"/>
        </w:rPr>
        <w:t xml:space="preserve"> letter in the coming weeks.</w:t>
      </w:r>
      <w:r w:rsidR="00DC0004">
        <w:rPr>
          <w:rStyle w:val="FootnoteReference"/>
          <w:rFonts w:cstheme="minorHAnsi"/>
        </w:rPr>
        <w:footnoteReference w:id="6"/>
      </w:r>
    </w:p>
    <w:p w:rsidR="005000DB" w:rsidRPr="004B2F56" w:rsidRDefault="005000DB" w:rsidP="00B14007">
      <w:pPr>
        <w:pStyle w:val="Heading1"/>
        <w:keepNext/>
        <w:numPr>
          <w:ilvl w:val="0"/>
          <w:numId w:val="0"/>
        </w:numPr>
        <w:jc w:val="center"/>
        <w:rPr>
          <w:rFonts w:asciiTheme="minorHAnsi" w:hAnsiTheme="minorHAnsi" w:cstheme="minorHAnsi"/>
          <w:b/>
          <w:szCs w:val="24"/>
        </w:rPr>
      </w:pPr>
      <w:bookmarkStart w:id="6" w:name="_Toc40193612"/>
      <w:r w:rsidRPr="004B2F56">
        <w:rPr>
          <w:rFonts w:asciiTheme="minorHAnsi" w:hAnsiTheme="minorHAnsi" w:cstheme="minorHAnsi"/>
          <w:b/>
          <w:szCs w:val="24"/>
        </w:rPr>
        <w:t>DISCUSSION</w:t>
      </w:r>
      <w:bookmarkEnd w:id="6"/>
    </w:p>
    <w:p w:rsidR="006A02BD" w:rsidRPr="004B2F56" w:rsidRDefault="00E45857" w:rsidP="00095800">
      <w:pPr>
        <w:pStyle w:val="Heading2"/>
        <w:numPr>
          <w:ilvl w:val="1"/>
          <w:numId w:val="45"/>
        </w:numPr>
        <w:rPr>
          <w:rFonts w:asciiTheme="minorHAnsi" w:hAnsiTheme="minorHAnsi" w:cstheme="minorHAnsi"/>
          <w:szCs w:val="24"/>
        </w:rPr>
      </w:pPr>
      <w:bookmarkStart w:id="7" w:name="_Toc40193613"/>
      <w:r w:rsidRPr="004B2F56">
        <w:rPr>
          <w:rFonts w:asciiTheme="minorHAnsi" w:hAnsiTheme="minorHAnsi" w:cstheme="minorHAnsi"/>
          <w:szCs w:val="24"/>
        </w:rPr>
        <w:t>The</w:t>
      </w:r>
      <w:r w:rsidR="00C80907" w:rsidRPr="004B2F56">
        <w:rPr>
          <w:rFonts w:asciiTheme="minorHAnsi" w:hAnsiTheme="minorHAnsi" w:cstheme="minorHAnsi"/>
          <w:szCs w:val="24"/>
        </w:rPr>
        <w:t xml:space="preserve"> Commissioner Should </w:t>
      </w:r>
      <w:r w:rsidR="00B8596C" w:rsidRPr="004B2F56">
        <w:rPr>
          <w:rFonts w:asciiTheme="minorHAnsi" w:hAnsiTheme="minorHAnsi" w:cstheme="minorHAnsi"/>
          <w:szCs w:val="24"/>
        </w:rPr>
        <w:t xml:space="preserve">Immediately </w:t>
      </w:r>
      <w:r w:rsidR="00C80907" w:rsidRPr="004B2F56">
        <w:rPr>
          <w:rFonts w:asciiTheme="minorHAnsi" w:hAnsiTheme="minorHAnsi" w:cstheme="minorHAnsi"/>
          <w:szCs w:val="24"/>
        </w:rPr>
        <w:t>Order</w:t>
      </w:r>
      <w:r w:rsidR="00F318E8" w:rsidRPr="004B2F56">
        <w:rPr>
          <w:rFonts w:asciiTheme="minorHAnsi" w:hAnsiTheme="minorHAnsi" w:cstheme="minorHAnsi"/>
          <w:szCs w:val="24"/>
        </w:rPr>
        <w:t xml:space="preserve"> </w:t>
      </w:r>
      <w:proofErr w:type="spellStart"/>
      <w:r w:rsidR="000E4378">
        <w:rPr>
          <w:rFonts w:asciiTheme="minorHAnsi" w:hAnsiTheme="minorHAnsi" w:cstheme="minorHAnsi"/>
          <w:szCs w:val="24"/>
        </w:rPr>
        <w:t>GHMSI</w:t>
      </w:r>
      <w:proofErr w:type="spellEnd"/>
      <w:r w:rsidR="000E4378">
        <w:rPr>
          <w:rFonts w:asciiTheme="minorHAnsi" w:hAnsiTheme="minorHAnsi" w:cstheme="minorHAnsi"/>
          <w:szCs w:val="24"/>
        </w:rPr>
        <w:t xml:space="preserve"> to Spend </w:t>
      </w:r>
      <w:r w:rsidR="00C80907" w:rsidRPr="004B2F56">
        <w:rPr>
          <w:rFonts w:asciiTheme="minorHAnsi" w:hAnsiTheme="minorHAnsi" w:cstheme="minorHAnsi"/>
          <w:szCs w:val="24"/>
        </w:rPr>
        <w:t xml:space="preserve">the $51 </w:t>
      </w:r>
      <w:r w:rsidR="009657E8" w:rsidRPr="004B2F56">
        <w:rPr>
          <w:rFonts w:asciiTheme="minorHAnsi" w:hAnsiTheme="minorHAnsi" w:cstheme="minorHAnsi"/>
          <w:szCs w:val="24"/>
        </w:rPr>
        <w:t xml:space="preserve">Million </w:t>
      </w:r>
      <w:r w:rsidR="000E4378">
        <w:rPr>
          <w:rFonts w:asciiTheme="minorHAnsi" w:hAnsiTheme="minorHAnsi" w:cstheme="minorHAnsi"/>
          <w:szCs w:val="24"/>
        </w:rPr>
        <w:t xml:space="preserve">Affirmed by </w:t>
      </w:r>
      <w:r w:rsidR="009657E8" w:rsidRPr="004B2F56">
        <w:rPr>
          <w:rFonts w:asciiTheme="minorHAnsi" w:hAnsiTheme="minorHAnsi" w:cstheme="minorHAnsi"/>
          <w:szCs w:val="24"/>
        </w:rPr>
        <w:t>the Court of Appeals</w:t>
      </w:r>
      <w:r w:rsidR="000E4378">
        <w:rPr>
          <w:rFonts w:asciiTheme="minorHAnsi" w:hAnsiTheme="minorHAnsi" w:cstheme="minorHAnsi"/>
          <w:szCs w:val="24"/>
        </w:rPr>
        <w:t>, and</w:t>
      </w:r>
      <w:r w:rsidR="00B8596C" w:rsidRPr="004B2F56">
        <w:rPr>
          <w:rFonts w:asciiTheme="minorHAnsi" w:hAnsiTheme="minorHAnsi" w:cstheme="minorHAnsi"/>
          <w:szCs w:val="24"/>
        </w:rPr>
        <w:t xml:space="preserve"> Promptly </w:t>
      </w:r>
      <w:r w:rsidR="00C80907" w:rsidRPr="004B2F56">
        <w:rPr>
          <w:rFonts w:asciiTheme="minorHAnsi" w:hAnsiTheme="minorHAnsi" w:cstheme="minorHAnsi"/>
          <w:szCs w:val="24"/>
        </w:rPr>
        <w:t xml:space="preserve">Resolve the </w:t>
      </w:r>
      <w:r w:rsidRPr="004B2F56">
        <w:rPr>
          <w:rFonts w:asciiTheme="minorHAnsi" w:hAnsiTheme="minorHAnsi" w:cstheme="minorHAnsi"/>
          <w:szCs w:val="24"/>
        </w:rPr>
        <w:t xml:space="preserve">Issues </w:t>
      </w:r>
      <w:r w:rsidR="00C80907" w:rsidRPr="004B2F56">
        <w:rPr>
          <w:rFonts w:asciiTheme="minorHAnsi" w:hAnsiTheme="minorHAnsi" w:cstheme="minorHAnsi"/>
          <w:szCs w:val="24"/>
        </w:rPr>
        <w:t>Remanded by the Court of Appeals</w:t>
      </w:r>
      <w:r w:rsidR="00B8596C" w:rsidRPr="004B2F56">
        <w:rPr>
          <w:rFonts w:asciiTheme="minorHAnsi" w:hAnsiTheme="minorHAnsi" w:cstheme="minorHAnsi"/>
          <w:szCs w:val="24"/>
        </w:rPr>
        <w:t xml:space="preserve"> to Determine </w:t>
      </w:r>
      <w:proofErr w:type="spellStart"/>
      <w:r w:rsidR="000E4378">
        <w:rPr>
          <w:rFonts w:asciiTheme="minorHAnsi" w:hAnsiTheme="minorHAnsi" w:cstheme="minorHAnsi"/>
          <w:szCs w:val="24"/>
        </w:rPr>
        <w:t>GHMSI’s</w:t>
      </w:r>
      <w:proofErr w:type="spellEnd"/>
      <w:r w:rsidR="000E4378" w:rsidRPr="004B2F56">
        <w:rPr>
          <w:rFonts w:asciiTheme="minorHAnsi" w:hAnsiTheme="minorHAnsi" w:cstheme="minorHAnsi"/>
          <w:szCs w:val="24"/>
        </w:rPr>
        <w:t xml:space="preserve"> </w:t>
      </w:r>
      <w:r w:rsidR="00B8596C" w:rsidRPr="004B2F56">
        <w:rPr>
          <w:rFonts w:asciiTheme="minorHAnsi" w:hAnsiTheme="minorHAnsi" w:cstheme="minorHAnsi"/>
          <w:szCs w:val="24"/>
        </w:rPr>
        <w:t>Additional Excess Surplus</w:t>
      </w:r>
      <w:bookmarkEnd w:id="7"/>
    </w:p>
    <w:p w:rsidR="009D6C07" w:rsidRPr="004B2F56" w:rsidRDefault="00055677" w:rsidP="00095800">
      <w:pPr>
        <w:pStyle w:val="BodyText"/>
        <w:rPr>
          <w:rFonts w:asciiTheme="minorHAnsi" w:hAnsiTheme="minorHAnsi" w:cstheme="minorHAnsi"/>
          <w:szCs w:val="24"/>
        </w:rPr>
      </w:pPr>
      <w:r w:rsidRPr="004B2F56">
        <w:rPr>
          <w:rFonts w:asciiTheme="minorHAnsi" w:hAnsiTheme="minorHAnsi" w:cstheme="minorHAnsi"/>
          <w:szCs w:val="24"/>
        </w:rPr>
        <w:t xml:space="preserve">Given the past delay, </w:t>
      </w:r>
      <w:r w:rsidR="00FC5250" w:rsidRPr="004B2F56">
        <w:rPr>
          <w:rFonts w:asciiTheme="minorHAnsi" w:hAnsiTheme="minorHAnsi" w:cstheme="minorHAnsi"/>
          <w:szCs w:val="24"/>
        </w:rPr>
        <w:t>and</w:t>
      </w:r>
      <w:r w:rsidRPr="004B2F56">
        <w:rPr>
          <w:rFonts w:asciiTheme="minorHAnsi" w:hAnsiTheme="minorHAnsi" w:cstheme="minorHAnsi"/>
          <w:szCs w:val="24"/>
        </w:rPr>
        <w:t xml:space="preserve"> the health </w:t>
      </w:r>
      <w:r w:rsidR="00FC5250" w:rsidRPr="004B2F56">
        <w:rPr>
          <w:rFonts w:asciiTheme="minorHAnsi" w:hAnsiTheme="minorHAnsi" w:cstheme="minorHAnsi"/>
          <w:szCs w:val="24"/>
        </w:rPr>
        <w:t>crisis</w:t>
      </w:r>
      <w:r w:rsidRPr="004B2F56">
        <w:rPr>
          <w:rFonts w:asciiTheme="minorHAnsi" w:hAnsiTheme="minorHAnsi" w:cstheme="minorHAnsi"/>
          <w:szCs w:val="24"/>
        </w:rPr>
        <w:t xml:space="preserve"> created by the </w:t>
      </w:r>
      <w:r w:rsidR="001600A0" w:rsidRPr="004B2F56">
        <w:rPr>
          <w:rFonts w:asciiTheme="minorHAnsi" w:hAnsiTheme="minorHAnsi" w:cstheme="minorHAnsi"/>
          <w:szCs w:val="24"/>
        </w:rPr>
        <w:t xml:space="preserve">coronavirus </w:t>
      </w:r>
      <w:r w:rsidRPr="004B2F56">
        <w:rPr>
          <w:rFonts w:asciiTheme="minorHAnsi" w:hAnsiTheme="minorHAnsi" w:cstheme="minorHAnsi"/>
          <w:szCs w:val="24"/>
        </w:rPr>
        <w:t xml:space="preserve">pandemic, it is urgent that </w:t>
      </w:r>
      <w:r w:rsidR="00FC5250" w:rsidRPr="004B2F56">
        <w:rPr>
          <w:rFonts w:asciiTheme="minorHAnsi" w:hAnsiTheme="minorHAnsi" w:cstheme="minorHAnsi"/>
          <w:szCs w:val="24"/>
        </w:rPr>
        <w:t>the</w:t>
      </w:r>
      <w:r w:rsidRPr="004B2F56">
        <w:rPr>
          <w:rFonts w:asciiTheme="minorHAnsi" w:hAnsiTheme="minorHAnsi" w:cstheme="minorHAnsi"/>
          <w:szCs w:val="24"/>
        </w:rPr>
        <w:t xml:space="preserve"> </w:t>
      </w:r>
      <w:r w:rsidR="00FC5250" w:rsidRPr="004B2F56">
        <w:rPr>
          <w:rFonts w:asciiTheme="minorHAnsi" w:hAnsiTheme="minorHAnsi" w:cstheme="minorHAnsi"/>
          <w:szCs w:val="24"/>
        </w:rPr>
        <w:t>Commissioner</w:t>
      </w:r>
      <w:r w:rsidRPr="004B2F56">
        <w:rPr>
          <w:rFonts w:asciiTheme="minorHAnsi" w:hAnsiTheme="minorHAnsi" w:cstheme="minorHAnsi"/>
          <w:szCs w:val="24"/>
        </w:rPr>
        <w:t xml:space="preserve"> act</w:t>
      </w:r>
      <w:r w:rsidR="00FC5250" w:rsidRPr="004B2F56">
        <w:rPr>
          <w:rFonts w:asciiTheme="minorHAnsi" w:hAnsiTheme="minorHAnsi" w:cstheme="minorHAnsi"/>
          <w:szCs w:val="24"/>
        </w:rPr>
        <w:t xml:space="preserve"> in two ways</w:t>
      </w:r>
      <w:r w:rsidR="009D6C07" w:rsidRPr="004B2F56">
        <w:rPr>
          <w:rFonts w:asciiTheme="minorHAnsi" w:hAnsiTheme="minorHAnsi" w:cstheme="minorHAnsi"/>
          <w:szCs w:val="24"/>
        </w:rPr>
        <w:t xml:space="preserve">, as </w:t>
      </w:r>
      <w:r w:rsidR="000E4378">
        <w:rPr>
          <w:rFonts w:asciiTheme="minorHAnsi" w:hAnsiTheme="minorHAnsi" w:cstheme="minorHAnsi"/>
          <w:szCs w:val="24"/>
        </w:rPr>
        <w:t>Appleseed</w:t>
      </w:r>
      <w:r w:rsidR="000E4378" w:rsidRPr="004B2F56">
        <w:rPr>
          <w:rFonts w:asciiTheme="minorHAnsi" w:hAnsiTheme="minorHAnsi" w:cstheme="minorHAnsi"/>
          <w:szCs w:val="24"/>
        </w:rPr>
        <w:t xml:space="preserve"> </w:t>
      </w:r>
      <w:r w:rsidR="009D6C07" w:rsidRPr="004B2F56">
        <w:rPr>
          <w:rFonts w:asciiTheme="minorHAnsi" w:hAnsiTheme="minorHAnsi" w:cstheme="minorHAnsi"/>
          <w:szCs w:val="24"/>
        </w:rPr>
        <w:t xml:space="preserve">indicated in </w:t>
      </w:r>
      <w:r w:rsidR="000E4378">
        <w:rPr>
          <w:rFonts w:asciiTheme="minorHAnsi" w:hAnsiTheme="minorHAnsi" w:cstheme="minorHAnsi"/>
          <w:szCs w:val="24"/>
        </w:rPr>
        <w:t>its</w:t>
      </w:r>
      <w:r w:rsidR="000E4378" w:rsidRPr="004B2F56">
        <w:rPr>
          <w:rFonts w:asciiTheme="minorHAnsi" w:hAnsiTheme="minorHAnsi" w:cstheme="minorHAnsi"/>
          <w:szCs w:val="24"/>
        </w:rPr>
        <w:t xml:space="preserve"> </w:t>
      </w:r>
      <w:r w:rsidR="009D6C07" w:rsidRPr="004B2F56">
        <w:rPr>
          <w:rFonts w:asciiTheme="minorHAnsi" w:hAnsiTheme="minorHAnsi" w:cstheme="minorHAnsi"/>
          <w:szCs w:val="24"/>
        </w:rPr>
        <w:t>April 6 letter</w:t>
      </w:r>
      <w:r w:rsidR="00FC5250" w:rsidRPr="004B2F56">
        <w:rPr>
          <w:rFonts w:asciiTheme="minorHAnsi" w:hAnsiTheme="minorHAnsi" w:cstheme="minorHAnsi"/>
          <w:szCs w:val="24"/>
        </w:rPr>
        <w:t>.</w:t>
      </w:r>
      <w:r w:rsidRPr="004B2F56">
        <w:rPr>
          <w:rFonts w:asciiTheme="minorHAnsi" w:hAnsiTheme="minorHAnsi" w:cstheme="minorHAnsi"/>
          <w:szCs w:val="24"/>
        </w:rPr>
        <w:t xml:space="preserve"> </w:t>
      </w:r>
    </w:p>
    <w:p w:rsidR="00055677" w:rsidRPr="004B2F56" w:rsidRDefault="00055677" w:rsidP="00095800">
      <w:pPr>
        <w:pStyle w:val="BodyText"/>
        <w:rPr>
          <w:rFonts w:asciiTheme="minorHAnsi" w:hAnsiTheme="minorHAnsi" w:cstheme="minorHAnsi"/>
          <w:szCs w:val="24"/>
        </w:rPr>
      </w:pPr>
      <w:r w:rsidRPr="004B2F56">
        <w:rPr>
          <w:rFonts w:asciiTheme="minorHAnsi" w:hAnsiTheme="minorHAnsi" w:cstheme="minorHAnsi"/>
          <w:szCs w:val="24"/>
        </w:rPr>
        <w:t xml:space="preserve">First, the </w:t>
      </w:r>
      <w:r w:rsidR="00FC5250" w:rsidRPr="004B2F56">
        <w:rPr>
          <w:rFonts w:asciiTheme="minorHAnsi" w:hAnsiTheme="minorHAnsi" w:cstheme="minorHAnsi"/>
          <w:szCs w:val="24"/>
        </w:rPr>
        <w:t>Commissioner</w:t>
      </w:r>
      <w:r w:rsidRPr="004B2F56">
        <w:rPr>
          <w:rFonts w:asciiTheme="minorHAnsi" w:hAnsiTheme="minorHAnsi" w:cstheme="minorHAnsi"/>
          <w:szCs w:val="24"/>
        </w:rPr>
        <w:t xml:space="preserve"> should immediately order the spending of $51 million </w:t>
      </w:r>
      <w:r w:rsidR="00A604C0" w:rsidRPr="004B2F56">
        <w:rPr>
          <w:rFonts w:asciiTheme="minorHAnsi" w:hAnsiTheme="minorHAnsi" w:cstheme="minorHAnsi"/>
          <w:szCs w:val="24"/>
        </w:rPr>
        <w:t xml:space="preserve">in excess surplus, as </w:t>
      </w:r>
      <w:r w:rsidR="00FC5250" w:rsidRPr="004B2F56">
        <w:rPr>
          <w:rFonts w:asciiTheme="minorHAnsi" w:hAnsiTheme="minorHAnsi" w:cstheme="minorHAnsi"/>
          <w:szCs w:val="24"/>
        </w:rPr>
        <w:t>determined</w:t>
      </w:r>
      <w:r w:rsidRPr="004B2F56">
        <w:rPr>
          <w:rFonts w:asciiTheme="minorHAnsi" w:hAnsiTheme="minorHAnsi" w:cstheme="minorHAnsi"/>
          <w:szCs w:val="24"/>
        </w:rPr>
        <w:t xml:space="preserve"> by the </w:t>
      </w:r>
      <w:r w:rsidR="00FC5250" w:rsidRPr="004B2F56">
        <w:rPr>
          <w:rFonts w:asciiTheme="minorHAnsi" w:hAnsiTheme="minorHAnsi" w:cstheme="minorHAnsi"/>
          <w:szCs w:val="24"/>
        </w:rPr>
        <w:t>Commissioner</w:t>
      </w:r>
      <w:r w:rsidRPr="004B2F56">
        <w:rPr>
          <w:rFonts w:asciiTheme="minorHAnsi" w:hAnsiTheme="minorHAnsi" w:cstheme="minorHAnsi"/>
          <w:szCs w:val="24"/>
        </w:rPr>
        <w:t xml:space="preserve"> in </w:t>
      </w:r>
      <w:r w:rsidR="00FC5250" w:rsidRPr="004B2F56">
        <w:rPr>
          <w:rFonts w:asciiTheme="minorHAnsi" w:hAnsiTheme="minorHAnsi" w:cstheme="minorHAnsi"/>
          <w:szCs w:val="24"/>
        </w:rPr>
        <w:t>December</w:t>
      </w:r>
      <w:r w:rsidRPr="004B2F56">
        <w:rPr>
          <w:rFonts w:asciiTheme="minorHAnsi" w:hAnsiTheme="minorHAnsi" w:cstheme="minorHAnsi"/>
          <w:szCs w:val="24"/>
        </w:rPr>
        <w:t xml:space="preserve"> 2014</w:t>
      </w:r>
      <w:r w:rsidR="00FC5250" w:rsidRPr="004B2F56">
        <w:rPr>
          <w:rFonts w:asciiTheme="minorHAnsi" w:hAnsiTheme="minorHAnsi" w:cstheme="minorHAnsi"/>
          <w:szCs w:val="24"/>
        </w:rPr>
        <w:t>. Because</w:t>
      </w:r>
      <w:r w:rsidRPr="004B2F56">
        <w:rPr>
          <w:rFonts w:asciiTheme="minorHAnsi" w:hAnsiTheme="minorHAnsi" w:cstheme="minorHAnsi"/>
          <w:szCs w:val="24"/>
        </w:rPr>
        <w:t xml:space="preserve"> </w:t>
      </w:r>
      <w:r w:rsidR="00A604C0" w:rsidRPr="004B2F56">
        <w:rPr>
          <w:rFonts w:asciiTheme="minorHAnsi" w:hAnsiTheme="minorHAnsi" w:cstheme="minorHAnsi"/>
          <w:szCs w:val="24"/>
        </w:rPr>
        <w:t xml:space="preserve">the Court of Appeals rejected </w:t>
      </w:r>
      <w:r w:rsidRPr="004B2F56">
        <w:rPr>
          <w:rFonts w:asciiTheme="minorHAnsi" w:hAnsiTheme="minorHAnsi" w:cstheme="minorHAnsi"/>
          <w:szCs w:val="24"/>
        </w:rPr>
        <w:t xml:space="preserve">all of </w:t>
      </w:r>
      <w:proofErr w:type="spellStart"/>
      <w:r w:rsidRPr="004B2F56">
        <w:rPr>
          <w:rFonts w:asciiTheme="minorHAnsi" w:hAnsiTheme="minorHAnsi" w:cstheme="minorHAnsi"/>
          <w:szCs w:val="24"/>
        </w:rPr>
        <w:t>GHMSI’s</w:t>
      </w:r>
      <w:proofErr w:type="spellEnd"/>
      <w:r w:rsidRPr="004B2F56">
        <w:rPr>
          <w:rFonts w:asciiTheme="minorHAnsi" w:hAnsiTheme="minorHAnsi" w:cstheme="minorHAnsi"/>
          <w:szCs w:val="24"/>
        </w:rPr>
        <w:t xml:space="preserve"> </w:t>
      </w:r>
      <w:r w:rsidR="00FC5250" w:rsidRPr="004B2F56">
        <w:rPr>
          <w:rFonts w:asciiTheme="minorHAnsi" w:hAnsiTheme="minorHAnsi" w:cstheme="minorHAnsi"/>
          <w:szCs w:val="24"/>
        </w:rPr>
        <w:t>challenges</w:t>
      </w:r>
      <w:r w:rsidRPr="004B2F56">
        <w:rPr>
          <w:rFonts w:asciiTheme="minorHAnsi" w:hAnsiTheme="minorHAnsi" w:cstheme="minorHAnsi"/>
          <w:szCs w:val="24"/>
        </w:rPr>
        <w:t xml:space="preserve"> to that </w:t>
      </w:r>
      <w:r w:rsidR="00FC5250" w:rsidRPr="004B2F56">
        <w:rPr>
          <w:rFonts w:asciiTheme="minorHAnsi" w:hAnsiTheme="minorHAnsi" w:cstheme="minorHAnsi"/>
          <w:szCs w:val="24"/>
        </w:rPr>
        <w:t>determination,</w:t>
      </w:r>
      <w:r w:rsidRPr="004B2F56">
        <w:rPr>
          <w:rFonts w:asciiTheme="minorHAnsi" w:hAnsiTheme="minorHAnsi" w:cstheme="minorHAnsi"/>
          <w:szCs w:val="24"/>
        </w:rPr>
        <w:t xml:space="preserve"> the $51 million </w:t>
      </w:r>
      <w:r w:rsidR="00FC5250" w:rsidRPr="004B2F56">
        <w:rPr>
          <w:rFonts w:asciiTheme="minorHAnsi" w:hAnsiTheme="minorHAnsi" w:cstheme="minorHAnsi"/>
          <w:szCs w:val="24"/>
        </w:rPr>
        <w:t>determination</w:t>
      </w:r>
      <w:r w:rsidRPr="004B2F56">
        <w:rPr>
          <w:rFonts w:asciiTheme="minorHAnsi" w:hAnsiTheme="minorHAnsi" w:cstheme="minorHAnsi"/>
          <w:szCs w:val="24"/>
        </w:rPr>
        <w:t xml:space="preserve"> is </w:t>
      </w:r>
      <w:proofErr w:type="spellStart"/>
      <w:r w:rsidR="000E4378">
        <w:rPr>
          <w:rFonts w:asciiTheme="minorHAnsi" w:hAnsiTheme="minorHAnsi" w:cstheme="minorHAnsi"/>
          <w:szCs w:val="24"/>
        </w:rPr>
        <w:t>GHMSI’s</w:t>
      </w:r>
      <w:proofErr w:type="spellEnd"/>
      <w:r w:rsidR="000E4378">
        <w:rPr>
          <w:rFonts w:asciiTheme="minorHAnsi" w:hAnsiTheme="minorHAnsi" w:cstheme="minorHAnsi"/>
          <w:szCs w:val="24"/>
        </w:rPr>
        <w:t xml:space="preserve"> minimum obligation</w:t>
      </w:r>
      <w:r w:rsidR="000E4378" w:rsidRPr="004B2F56">
        <w:rPr>
          <w:rFonts w:asciiTheme="minorHAnsi" w:hAnsiTheme="minorHAnsi" w:cstheme="minorHAnsi"/>
          <w:szCs w:val="24"/>
        </w:rPr>
        <w:t xml:space="preserve"> </w:t>
      </w:r>
      <w:r w:rsidRPr="004B2F56">
        <w:rPr>
          <w:rFonts w:asciiTheme="minorHAnsi" w:hAnsiTheme="minorHAnsi" w:cstheme="minorHAnsi"/>
          <w:szCs w:val="24"/>
        </w:rPr>
        <w:t xml:space="preserve">and </w:t>
      </w:r>
      <w:r w:rsidR="00FC5250" w:rsidRPr="004B2F56">
        <w:rPr>
          <w:rFonts w:asciiTheme="minorHAnsi" w:hAnsiTheme="minorHAnsi" w:cstheme="minorHAnsi"/>
          <w:szCs w:val="24"/>
        </w:rPr>
        <w:t>should</w:t>
      </w:r>
      <w:r w:rsidRPr="004B2F56">
        <w:rPr>
          <w:rFonts w:asciiTheme="minorHAnsi" w:hAnsiTheme="minorHAnsi" w:cstheme="minorHAnsi"/>
          <w:szCs w:val="24"/>
        </w:rPr>
        <w:t xml:space="preserve"> be </w:t>
      </w:r>
      <w:r w:rsidR="000E4378">
        <w:rPr>
          <w:rFonts w:asciiTheme="minorHAnsi" w:hAnsiTheme="minorHAnsi" w:cstheme="minorHAnsi"/>
          <w:szCs w:val="24"/>
        </w:rPr>
        <w:t>disbursed</w:t>
      </w:r>
      <w:r w:rsidR="00FC5250" w:rsidRPr="004B2F56">
        <w:rPr>
          <w:rFonts w:asciiTheme="minorHAnsi" w:hAnsiTheme="minorHAnsi" w:cstheme="minorHAnsi"/>
          <w:szCs w:val="24"/>
        </w:rPr>
        <w:t>.</w:t>
      </w:r>
      <w:r w:rsidRPr="004B2F56">
        <w:rPr>
          <w:rFonts w:asciiTheme="minorHAnsi" w:hAnsiTheme="minorHAnsi" w:cstheme="minorHAnsi"/>
          <w:szCs w:val="24"/>
        </w:rPr>
        <w:t xml:space="preserve"> </w:t>
      </w:r>
      <w:r w:rsidR="009D6C07" w:rsidRPr="004B2F56">
        <w:rPr>
          <w:rFonts w:asciiTheme="minorHAnsi" w:hAnsiTheme="minorHAnsi" w:cstheme="minorHAnsi"/>
          <w:szCs w:val="24"/>
        </w:rPr>
        <w:t>T</w:t>
      </w:r>
      <w:r w:rsidRPr="004B2F56">
        <w:rPr>
          <w:rFonts w:asciiTheme="minorHAnsi" w:hAnsiTheme="minorHAnsi" w:cstheme="minorHAnsi"/>
          <w:szCs w:val="24"/>
        </w:rPr>
        <w:t xml:space="preserve">he </w:t>
      </w:r>
      <w:r w:rsidR="00FC5250" w:rsidRPr="004B2F56">
        <w:rPr>
          <w:rFonts w:asciiTheme="minorHAnsi" w:hAnsiTheme="minorHAnsi" w:cstheme="minorHAnsi"/>
          <w:szCs w:val="24"/>
        </w:rPr>
        <w:t>Commissioner</w:t>
      </w:r>
      <w:r w:rsidRPr="004B2F56">
        <w:rPr>
          <w:rFonts w:asciiTheme="minorHAnsi" w:hAnsiTheme="minorHAnsi" w:cstheme="minorHAnsi"/>
          <w:szCs w:val="24"/>
        </w:rPr>
        <w:t xml:space="preserve"> should require that these funds prioritize </w:t>
      </w:r>
      <w:r w:rsidR="00FC5250" w:rsidRPr="004B2F56">
        <w:rPr>
          <w:rFonts w:asciiTheme="minorHAnsi" w:hAnsiTheme="minorHAnsi" w:cstheme="minorHAnsi"/>
          <w:szCs w:val="24"/>
        </w:rPr>
        <w:t>spending</w:t>
      </w:r>
      <w:r w:rsidRPr="004B2F56">
        <w:rPr>
          <w:rFonts w:asciiTheme="minorHAnsi" w:hAnsiTheme="minorHAnsi" w:cstheme="minorHAnsi"/>
          <w:szCs w:val="24"/>
        </w:rPr>
        <w:t xml:space="preserve"> on needs ar</w:t>
      </w:r>
      <w:r w:rsidR="00FC5250" w:rsidRPr="004B2F56">
        <w:rPr>
          <w:rFonts w:asciiTheme="minorHAnsi" w:hAnsiTheme="minorHAnsi" w:cstheme="minorHAnsi"/>
          <w:szCs w:val="24"/>
        </w:rPr>
        <w:t>ising</w:t>
      </w:r>
      <w:r w:rsidRPr="004B2F56">
        <w:rPr>
          <w:rFonts w:asciiTheme="minorHAnsi" w:hAnsiTheme="minorHAnsi" w:cstheme="minorHAnsi"/>
          <w:szCs w:val="24"/>
        </w:rPr>
        <w:t xml:space="preserve"> from the pandemic</w:t>
      </w:r>
      <w:r w:rsidR="009D6C07" w:rsidRPr="004B2F56">
        <w:rPr>
          <w:rFonts w:asciiTheme="minorHAnsi" w:hAnsiTheme="minorHAnsi" w:cstheme="minorHAnsi"/>
          <w:szCs w:val="24"/>
        </w:rPr>
        <w:t xml:space="preserve"> – potentially including </w:t>
      </w:r>
      <w:r w:rsidRPr="004B2F56">
        <w:rPr>
          <w:rFonts w:asciiTheme="minorHAnsi" w:hAnsiTheme="minorHAnsi" w:cstheme="minorHAnsi"/>
          <w:szCs w:val="24"/>
        </w:rPr>
        <w:t>for</w:t>
      </w:r>
      <w:r w:rsidR="00FC5250" w:rsidRPr="004B2F56">
        <w:rPr>
          <w:rFonts w:asciiTheme="minorHAnsi" w:hAnsiTheme="minorHAnsi" w:cstheme="minorHAnsi"/>
          <w:szCs w:val="24"/>
        </w:rPr>
        <w:t>giving</w:t>
      </w:r>
      <w:r w:rsidRPr="004B2F56">
        <w:rPr>
          <w:rFonts w:asciiTheme="minorHAnsi" w:hAnsiTheme="minorHAnsi" w:cstheme="minorHAnsi"/>
          <w:szCs w:val="24"/>
        </w:rPr>
        <w:t xml:space="preserve"> or </w:t>
      </w:r>
      <w:r w:rsidR="00FC5250" w:rsidRPr="004B2F56">
        <w:rPr>
          <w:rFonts w:asciiTheme="minorHAnsi" w:hAnsiTheme="minorHAnsi" w:cstheme="minorHAnsi"/>
          <w:szCs w:val="24"/>
        </w:rPr>
        <w:t>reducing</w:t>
      </w:r>
      <w:r w:rsidRPr="004B2F56">
        <w:rPr>
          <w:rFonts w:asciiTheme="minorHAnsi" w:hAnsiTheme="minorHAnsi" w:cstheme="minorHAnsi"/>
          <w:szCs w:val="24"/>
        </w:rPr>
        <w:t xml:space="preserve"> premiums for </w:t>
      </w:r>
      <w:r w:rsidR="00D858F5" w:rsidRPr="004B2F56">
        <w:rPr>
          <w:rFonts w:asciiTheme="minorHAnsi" w:hAnsiTheme="minorHAnsi" w:cstheme="minorHAnsi"/>
          <w:szCs w:val="24"/>
        </w:rPr>
        <w:t xml:space="preserve">all </w:t>
      </w:r>
      <w:r w:rsidRPr="004B2F56">
        <w:rPr>
          <w:rFonts w:asciiTheme="minorHAnsi" w:hAnsiTheme="minorHAnsi" w:cstheme="minorHAnsi"/>
          <w:szCs w:val="24"/>
        </w:rPr>
        <w:t>in</w:t>
      </w:r>
      <w:r w:rsidR="00FC5250" w:rsidRPr="004B2F56">
        <w:rPr>
          <w:rFonts w:asciiTheme="minorHAnsi" w:hAnsiTheme="minorHAnsi" w:cstheme="minorHAnsi"/>
          <w:szCs w:val="24"/>
        </w:rPr>
        <w:t>di</w:t>
      </w:r>
      <w:r w:rsidRPr="004B2F56">
        <w:rPr>
          <w:rFonts w:asciiTheme="minorHAnsi" w:hAnsiTheme="minorHAnsi" w:cstheme="minorHAnsi"/>
          <w:szCs w:val="24"/>
        </w:rPr>
        <w:t>vid</w:t>
      </w:r>
      <w:r w:rsidR="00FC5250" w:rsidRPr="004B2F56">
        <w:rPr>
          <w:rFonts w:asciiTheme="minorHAnsi" w:hAnsiTheme="minorHAnsi" w:cstheme="minorHAnsi"/>
          <w:szCs w:val="24"/>
        </w:rPr>
        <w:t>u</w:t>
      </w:r>
      <w:r w:rsidRPr="004B2F56">
        <w:rPr>
          <w:rFonts w:asciiTheme="minorHAnsi" w:hAnsiTheme="minorHAnsi" w:cstheme="minorHAnsi"/>
          <w:szCs w:val="24"/>
        </w:rPr>
        <w:t xml:space="preserve">al </w:t>
      </w:r>
      <w:r w:rsidR="00FC5250" w:rsidRPr="004B2F56">
        <w:rPr>
          <w:rFonts w:asciiTheme="minorHAnsi" w:hAnsiTheme="minorHAnsi" w:cstheme="minorHAnsi"/>
          <w:szCs w:val="24"/>
        </w:rPr>
        <w:t>members</w:t>
      </w:r>
      <w:r w:rsidR="00D858F5" w:rsidRPr="004B2F56">
        <w:rPr>
          <w:rFonts w:asciiTheme="minorHAnsi" w:hAnsiTheme="minorHAnsi" w:cstheme="minorHAnsi"/>
          <w:szCs w:val="24"/>
        </w:rPr>
        <w:t xml:space="preserve"> or, as feasible, those</w:t>
      </w:r>
      <w:r w:rsidRPr="004B2F56">
        <w:rPr>
          <w:rFonts w:asciiTheme="minorHAnsi" w:hAnsiTheme="minorHAnsi" w:cstheme="minorHAnsi"/>
          <w:szCs w:val="24"/>
        </w:rPr>
        <w:t xml:space="preserve"> at risk of losing </w:t>
      </w:r>
      <w:r w:rsidR="00FC5250" w:rsidRPr="004B2F56">
        <w:rPr>
          <w:rFonts w:asciiTheme="minorHAnsi" w:hAnsiTheme="minorHAnsi" w:cstheme="minorHAnsi"/>
          <w:szCs w:val="24"/>
        </w:rPr>
        <w:t>coverage</w:t>
      </w:r>
      <w:r w:rsidRPr="004B2F56">
        <w:rPr>
          <w:rFonts w:asciiTheme="minorHAnsi" w:hAnsiTheme="minorHAnsi" w:cstheme="minorHAnsi"/>
          <w:szCs w:val="24"/>
        </w:rPr>
        <w:t xml:space="preserve">, and supporting </w:t>
      </w:r>
      <w:r w:rsidR="009D6C07" w:rsidRPr="004B2F56">
        <w:rPr>
          <w:rFonts w:asciiTheme="minorHAnsi" w:hAnsiTheme="minorHAnsi" w:cstheme="minorHAnsi"/>
          <w:szCs w:val="24"/>
        </w:rPr>
        <w:t>frontline healthcare workers</w:t>
      </w:r>
      <w:r w:rsidR="00095800">
        <w:rPr>
          <w:rFonts w:asciiTheme="minorHAnsi" w:hAnsiTheme="minorHAnsi" w:cstheme="minorHAnsi"/>
          <w:szCs w:val="24"/>
        </w:rPr>
        <w:t xml:space="preserve"> in their fight against</w:t>
      </w:r>
      <w:r w:rsidRPr="004B2F56">
        <w:rPr>
          <w:rFonts w:asciiTheme="minorHAnsi" w:hAnsiTheme="minorHAnsi" w:cstheme="minorHAnsi"/>
          <w:szCs w:val="24"/>
        </w:rPr>
        <w:t xml:space="preserve"> the pandemic.</w:t>
      </w:r>
    </w:p>
    <w:p w:rsidR="00F43DB3" w:rsidRPr="004B2F56" w:rsidRDefault="00FC5250" w:rsidP="00F43DB3">
      <w:pPr>
        <w:pStyle w:val="BodyText"/>
        <w:rPr>
          <w:rFonts w:asciiTheme="minorHAnsi" w:hAnsiTheme="minorHAnsi" w:cstheme="minorHAnsi"/>
          <w:szCs w:val="24"/>
        </w:rPr>
      </w:pPr>
      <w:r w:rsidRPr="004B2F56">
        <w:rPr>
          <w:rFonts w:asciiTheme="minorHAnsi" w:hAnsiTheme="minorHAnsi" w:cstheme="minorHAnsi"/>
          <w:szCs w:val="24"/>
        </w:rPr>
        <w:lastRenderedPageBreak/>
        <w:t xml:space="preserve">Second, the </w:t>
      </w:r>
      <w:r w:rsidR="006A02BD" w:rsidRPr="004B2F56">
        <w:rPr>
          <w:rFonts w:asciiTheme="minorHAnsi" w:hAnsiTheme="minorHAnsi" w:cstheme="minorHAnsi"/>
          <w:szCs w:val="24"/>
        </w:rPr>
        <w:t>Commissioner</w:t>
      </w:r>
      <w:r w:rsidRPr="004B2F56">
        <w:rPr>
          <w:rFonts w:asciiTheme="minorHAnsi" w:hAnsiTheme="minorHAnsi" w:cstheme="minorHAnsi"/>
          <w:szCs w:val="24"/>
        </w:rPr>
        <w:t xml:space="preserve"> should move promptly to resolve </w:t>
      </w:r>
      <w:r w:rsidR="005A0FC6" w:rsidRPr="004B2F56">
        <w:rPr>
          <w:rFonts w:asciiTheme="minorHAnsi" w:hAnsiTheme="minorHAnsi" w:cstheme="minorHAnsi"/>
          <w:szCs w:val="24"/>
        </w:rPr>
        <w:t>the five issues remanded by the Court of A</w:t>
      </w:r>
      <w:r w:rsidR="00AE4A77" w:rsidRPr="004B2F56">
        <w:rPr>
          <w:rFonts w:asciiTheme="minorHAnsi" w:hAnsiTheme="minorHAnsi" w:cstheme="minorHAnsi"/>
          <w:szCs w:val="24"/>
        </w:rPr>
        <w:t>ppeals</w:t>
      </w:r>
      <w:r w:rsidRPr="004B2F56">
        <w:rPr>
          <w:rFonts w:asciiTheme="minorHAnsi" w:hAnsiTheme="minorHAnsi" w:cstheme="minorHAnsi"/>
          <w:szCs w:val="24"/>
        </w:rPr>
        <w:t xml:space="preserve">. </w:t>
      </w:r>
      <w:r w:rsidR="009D6C07" w:rsidRPr="004B2F56">
        <w:rPr>
          <w:rFonts w:asciiTheme="minorHAnsi" w:hAnsiTheme="minorHAnsi" w:cstheme="minorHAnsi"/>
          <w:szCs w:val="24"/>
        </w:rPr>
        <w:t xml:space="preserve">These </w:t>
      </w:r>
      <w:r w:rsidRPr="004B2F56">
        <w:rPr>
          <w:rFonts w:asciiTheme="minorHAnsi" w:hAnsiTheme="minorHAnsi" w:cstheme="minorHAnsi"/>
          <w:szCs w:val="24"/>
        </w:rPr>
        <w:t>issues</w:t>
      </w:r>
      <w:r w:rsidR="005A0FC6" w:rsidRPr="004B2F56">
        <w:rPr>
          <w:rFonts w:asciiTheme="minorHAnsi" w:hAnsiTheme="minorHAnsi" w:cstheme="minorHAnsi"/>
          <w:szCs w:val="24"/>
        </w:rPr>
        <w:t xml:space="preserve"> are relatively narrow</w:t>
      </w:r>
      <w:r w:rsidRPr="004B2F56">
        <w:rPr>
          <w:rFonts w:asciiTheme="minorHAnsi" w:hAnsiTheme="minorHAnsi" w:cstheme="minorHAnsi"/>
          <w:szCs w:val="24"/>
        </w:rPr>
        <w:t>.</w:t>
      </w:r>
      <w:r w:rsidR="004A09D9" w:rsidRPr="004B2F56">
        <w:rPr>
          <w:rFonts w:asciiTheme="minorHAnsi" w:hAnsiTheme="minorHAnsi" w:cstheme="minorHAnsi"/>
          <w:szCs w:val="24"/>
        </w:rPr>
        <w:t xml:space="preserve"> </w:t>
      </w:r>
      <w:r w:rsidR="009D6C07" w:rsidRPr="004B2F56">
        <w:rPr>
          <w:rFonts w:asciiTheme="minorHAnsi" w:hAnsiTheme="minorHAnsi" w:cstheme="minorHAnsi"/>
          <w:szCs w:val="24"/>
        </w:rPr>
        <w:t xml:space="preserve">They entail the possibility of an additional </w:t>
      </w:r>
      <w:r w:rsidR="00F43DB3">
        <w:rPr>
          <w:rFonts w:asciiTheme="minorHAnsi" w:hAnsiTheme="minorHAnsi" w:cstheme="minorHAnsi"/>
          <w:szCs w:val="24"/>
        </w:rPr>
        <w:t xml:space="preserve">$262.44 million or more (for </w:t>
      </w:r>
      <w:r w:rsidR="00534C4C">
        <w:rPr>
          <w:rFonts w:asciiTheme="minorHAnsi" w:hAnsiTheme="minorHAnsi" w:cstheme="minorHAnsi"/>
          <w:szCs w:val="24"/>
        </w:rPr>
        <w:t xml:space="preserve">a </w:t>
      </w:r>
      <w:r w:rsidR="00F43DB3">
        <w:rPr>
          <w:rFonts w:asciiTheme="minorHAnsi" w:hAnsiTheme="minorHAnsi" w:cstheme="minorHAnsi"/>
          <w:szCs w:val="24"/>
        </w:rPr>
        <w:t>total of $313.44 million or more</w:t>
      </w:r>
      <w:r w:rsidR="000A339E">
        <w:rPr>
          <w:rFonts w:asciiTheme="minorHAnsi" w:hAnsiTheme="minorHAnsi" w:cstheme="minorHAnsi"/>
          <w:szCs w:val="24"/>
        </w:rPr>
        <w:t xml:space="preserve">, </w:t>
      </w:r>
      <w:r w:rsidR="000A339E" w:rsidRPr="004B2F56">
        <w:rPr>
          <w:rFonts w:cstheme="minorHAnsi"/>
        </w:rPr>
        <w:t>based on interest running through June 2020</w:t>
      </w:r>
      <w:r w:rsidR="00F43DB3">
        <w:rPr>
          <w:rFonts w:asciiTheme="minorHAnsi" w:hAnsiTheme="minorHAnsi" w:cstheme="minorHAnsi"/>
          <w:szCs w:val="24"/>
        </w:rPr>
        <w:t>)</w:t>
      </w:r>
      <w:r w:rsidR="009D6C07" w:rsidRPr="004B2F56">
        <w:rPr>
          <w:rFonts w:asciiTheme="minorHAnsi" w:hAnsiTheme="minorHAnsi" w:cstheme="minorHAnsi"/>
          <w:szCs w:val="24"/>
        </w:rPr>
        <w:t xml:space="preserve"> </w:t>
      </w:r>
      <w:r w:rsidR="001600A0" w:rsidRPr="004B2F56">
        <w:rPr>
          <w:rFonts w:asciiTheme="minorHAnsi" w:hAnsiTheme="minorHAnsi" w:cstheme="minorHAnsi"/>
          <w:szCs w:val="24"/>
        </w:rPr>
        <w:t xml:space="preserve">to be spent </w:t>
      </w:r>
      <w:r w:rsidR="009D6C07" w:rsidRPr="004B2F56">
        <w:rPr>
          <w:rFonts w:asciiTheme="minorHAnsi" w:hAnsiTheme="minorHAnsi" w:cstheme="minorHAnsi"/>
          <w:szCs w:val="24"/>
        </w:rPr>
        <w:t xml:space="preserve">to address community health </w:t>
      </w:r>
      <w:r w:rsidR="00B8273B" w:rsidRPr="004B2F56">
        <w:rPr>
          <w:rFonts w:asciiTheme="minorHAnsi" w:hAnsiTheme="minorHAnsi" w:cstheme="minorHAnsi"/>
          <w:szCs w:val="24"/>
        </w:rPr>
        <w:t xml:space="preserve">needs </w:t>
      </w:r>
      <w:r w:rsidR="001600A0" w:rsidRPr="004B2F56">
        <w:rPr>
          <w:rFonts w:asciiTheme="minorHAnsi" w:hAnsiTheme="minorHAnsi" w:cstheme="minorHAnsi"/>
          <w:szCs w:val="24"/>
        </w:rPr>
        <w:t>in the District</w:t>
      </w:r>
      <w:r w:rsidR="009D6C07" w:rsidRPr="004B2F56">
        <w:rPr>
          <w:rFonts w:asciiTheme="minorHAnsi" w:hAnsiTheme="minorHAnsi" w:cstheme="minorHAnsi"/>
          <w:szCs w:val="24"/>
        </w:rPr>
        <w:t xml:space="preserve">. </w:t>
      </w:r>
      <w:r w:rsidRPr="004B2F56">
        <w:rPr>
          <w:rFonts w:asciiTheme="minorHAnsi" w:hAnsiTheme="minorHAnsi" w:cstheme="minorHAnsi"/>
          <w:szCs w:val="24"/>
        </w:rPr>
        <w:t>T</w:t>
      </w:r>
      <w:r w:rsidR="004A09D9" w:rsidRPr="004B2F56">
        <w:rPr>
          <w:rFonts w:asciiTheme="minorHAnsi" w:hAnsiTheme="minorHAnsi" w:cstheme="minorHAnsi"/>
          <w:szCs w:val="24"/>
        </w:rPr>
        <w:t xml:space="preserve">he Commissioner </w:t>
      </w:r>
      <w:r w:rsidRPr="004B2F56">
        <w:rPr>
          <w:rFonts w:asciiTheme="minorHAnsi" w:hAnsiTheme="minorHAnsi" w:cstheme="minorHAnsi"/>
          <w:szCs w:val="24"/>
        </w:rPr>
        <w:t xml:space="preserve">should resolve them </w:t>
      </w:r>
      <w:r w:rsidR="001600A0" w:rsidRPr="004B2F56">
        <w:rPr>
          <w:rFonts w:asciiTheme="minorHAnsi" w:hAnsiTheme="minorHAnsi" w:cstheme="minorHAnsi"/>
          <w:szCs w:val="24"/>
        </w:rPr>
        <w:t>as expeditiously as possible</w:t>
      </w:r>
      <w:r w:rsidR="006A02BD" w:rsidRPr="004B2F56">
        <w:rPr>
          <w:rFonts w:asciiTheme="minorHAnsi" w:hAnsiTheme="minorHAnsi" w:cstheme="minorHAnsi"/>
          <w:szCs w:val="24"/>
        </w:rPr>
        <w:t>.</w:t>
      </w:r>
    </w:p>
    <w:p w:rsidR="005062F9" w:rsidRPr="004B2F56" w:rsidRDefault="001600A0" w:rsidP="00095800">
      <w:pPr>
        <w:pStyle w:val="BodyText"/>
        <w:rPr>
          <w:rFonts w:asciiTheme="minorHAnsi" w:hAnsiTheme="minorHAnsi" w:cstheme="minorHAnsi"/>
          <w:szCs w:val="24"/>
        </w:rPr>
      </w:pPr>
      <w:r w:rsidRPr="004B2F56">
        <w:rPr>
          <w:rFonts w:asciiTheme="minorHAnsi" w:hAnsiTheme="minorHAnsi" w:cstheme="minorHAnsi"/>
          <w:szCs w:val="24"/>
        </w:rPr>
        <w:t>T</w:t>
      </w:r>
      <w:r w:rsidR="005062F9" w:rsidRPr="004B2F56">
        <w:rPr>
          <w:rFonts w:asciiTheme="minorHAnsi" w:hAnsiTheme="minorHAnsi" w:cstheme="minorHAnsi"/>
          <w:szCs w:val="24"/>
        </w:rPr>
        <w:t xml:space="preserve">he Court of Appeals has directed the Commissioner to address: (1) the effect on </w:t>
      </w:r>
      <w:proofErr w:type="spellStart"/>
      <w:r w:rsidR="005062F9" w:rsidRPr="004B2F56">
        <w:rPr>
          <w:rFonts w:asciiTheme="minorHAnsi" w:hAnsiTheme="minorHAnsi" w:cstheme="minorHAnsi"/>
          <w:szCs w:val="24"/>
        </w:rPr>
        <w:t>GHMSI’s</w:t>
      </w:r>
      <w:proofErr w:type="spellEnd"/>
      <w:r w:rsidR="005062F9" w:rsidRPr="004B2F56">
        <w:rPr>
          <w:rFonts w:asciiTheme="minorHAnsi" w:hAnsiTheme="minorHAnsi" w:cstheme="minorHAnsi"/>
          <w:szCs w:val="24"/>
        </w:rPr>
        <w:t xml:space="preserve"> need for surplus</w:t>
      </w:r>
      <w:r w:rsidR="00993D95" w:rsidRPr="004B2F56">
        <w:rPr>
          <w:rFonts w:asciiTheme="minorHAnsi" w:hAnsiTheme="minorHAnsi" w:cstheme="minorHAnsi"/>
          <w:szCs w:val="24"/>
        </w:rPr>
        <w:t xml:space="preserve"> of the risk posed by its portfolio investment</w:t>
      </w:r>
      <w:r w:rsidR="005062F9" w:rsidRPr="004B2F56">
        <w:rPr>
          <w:rFonts w:asciiTheme="minorHAnsi" w:hAnsiTheme="minorHAnsi" w:cstheme="minorHAnsi"/>
          <w:szCs w:val="24"/>
        </w:rPr>
        <w:t xml:space="preserve">; (2) </w:t>
      </w:r>
      <w:r w:rsidR="00993D95" w:rsidRPr="004B2F56">
        <w:rPr>
          <w:rFonts w:asciiTheme="minorHAnsi" w:hAnsiTheme="minorHAnsi" w:cstheme="minorHAnsi"/>
          <w:szCs w:val="24"/>
        </w:rPr>
        <w:t xml:space="preserve">the percentage of </w:t>
      </w:r>
      <w:proofErr w:type="spellStart"/>
      <w:r w:rsidR="005062F9" w:rsidRPr="004B2F56">
        <w:rPr>
          <w:rFonts w:asciiTheme="minorHAnsi" w:hAnsiTheme="minorHAnsi" w:cstheme="minorHAnsi"/>
          <w:szCs w:val="24"/>
        </w:rPr>
        <w:t>GHMSI</w:t>
      </w:r>
      <w:r w:rsidR="00993D95" w:rsidRPr="004B2F56">
        <w:rPr>
          <w:rFonts w:asciiTheme="minorHAnsi" w:hAnsiTheme="minorHAnsi" w:cstheme="minorHAnsi"/>
          <w:szCs w:val="24"/>
        </w:rPr>
        <w:t>’s</w:t>
      </w:r>
      <w:proofErr w:type="spellEnd"/>
      <w:r w:rsidR="00993D95" w:rsidRPr="004B2F56">
        <w:rPr>
          <w:rFonts w:asciiTheme="minorHAnsi" w:hAnsiTheme="minorHAnsi" w:cstheme="minorHAnsi"/>
          <w:szCs w:val="24"/>
        </w:rPr>
        <w:t xml:space="preserve"> excess</w:t>
      </w:r>
      <w:r w:rsidR="007D4667">
        <w:rPr>
          <w:rFonts w:asciiTheme="minorHAnsi" w:hAnsiTheme="minorHAnsi" w:cstheme="minorHAnsi"/>
          <w:szCs w:val="24"/>
        </w:rPr>
        <w:t xml:space="preserve"> </w:t>
      </w:r>
      <w:r w:rsidR="005062F9" w:rsidRPr="004B2F56">
        <w:rPr>
          <w:rFonts w:asciiTheme="minorHAnsi" w:hAnsiTheme="minorHAnsi" w:cstheme="minorHAnsi"/>
          <w:szCs w:val="24"/>
        </w:rPr>
        <w:t xml:space="preserve">surplus to </w:t>
      </w:r>
      <w:r w:rsidR="00993D95" w:rsidRPr="004B2F56">
        <w:rPr>
          <w:rFonts w:asciiTheme="minorHAnsi" w:hAnsiTheme="minorHAnsi" w:cstheme="minorHAnsi"/>
          <w:szCs w:val="24"/>
        </w:rPr>
        <w:t xml:space="preserve">be attributed to </w:t>
      </w:r>
      <w:r w:rsidR="005062F9" w:rsidRPr="004B2F56">
        <w:rPr>
          <w:rFonts w:asciiTheme="minorHAnsi" w:hAnsiTheme="minorHAnsi" w:cstheme="minorHAnsi"/>
          <w:szCs w:val="24"/>
        </w:rPr>
        <w:t xml:space="preserve">the District; (3) </w:t>
      </w:r>
      <w:r w:rsidR="00993D95" w:rsidRPr="004B2F56">
        <w:rPr>
          <w:rFonts w:asciiTheme="minorHAnsi" w:hAnsiTheme="minorHAnsi" w:cstheme="minorHAnsi"/>
          <w:szCs w:val="24"/>
        </w:rPr>
        <w:t xml:space="preserve">the request for prejudgment </w:t>
      </w:r>
      <w:r w:rsidR="005062F9" w:rsidRPr="004B2F56">
        <w:rPr>
          <w:rFonts w:asciiTheme="minorHAnsi" w:hAnsiTheme="minorHAnsi" w:cstheme="minorHAnsi"/>
          <w:szCs w:val="24"/>
        </w:rPr>
        <w:t xml:space="preserve">interest </w:t>
      </w:r>
      <w:r w:rsidR="00993D95" w:rsidRPr="004B2F56">
        <w:rPr>
          <w:rFonts w:asciiTheme="minorHAnsi" w:hAnsiTheme="minorHAnsi" w:cstheme="minorHAnsi"/>
          <w:szCs w:val="24"/>
        </w:rPr>
        <w:t xml:space="preserve">from </w:t>
      </w:r>
      <w:proofErr w:type="spellStart"/>
      <w:r w:rsidR="005062F9" w:rsidRPr="004B2F56">
        <w:rPr>
          <w:rFonts w:asciiTheme="minorHAnsi" w:hAnsiTheme="minorHAnsi" w:cstheme="minorHAnsi"/>
          <w:szCs w:val="24"/>
        </w:rPr>
        <w:t>GHMSI</w:t>
      </w:r>
      <w:proofErr w:type="spellEnd"/>
      <w:r w:rsidR="005062F9" w:rsidRPr="004B2F56">
        <w:rPr>
          <w:rFonts w:asciiTheme="minorHAnsi" w:hAnsiTheme="minorHAnsi" w:cstheme="minorHAnsi"/>
          <w:szCs w:val="24"/>
        </w:rPr>
        <w:t xml:space="preserve"> on </w:t>
      </w:r>
      <w:r w:rsidR="00993D95" w:rsidRPr="004B2F56">
        <w:rPr>
          <w:rFonts w:asciiTheme="minorHAnsi" w:hAnsiTheme="minorHAnsi" w:cstheme="minorHAnsi"/>
          <w:szCs w:val="24"/>
        </w:rPr>
        <w:t xml:space="preserve">the </w:t>
      </w:r>
      <w:r w:rsidR="005062F9" w:rsidRPr="004B2F56">
        <w:rPr>
          <w:rFonts w:asciiTheme="minorHAnsi" w:hAnsiTheme="minorHAnsi" w:cstheme="minorHAnsi"/>
          <w:szCs w:val="24"/>
        </w:rPr>
        <w:t>excess surplus owed to the District as of the end of 2011; (4) reimbursement of</w:t>
      </w:r>
      <w:r w:rsidR="009003EB">
        <w:rPr>
          <w:rFonts w:asciiTheme="minorHAnsi" w:hAnsiTheme="minorHAnsi" w:cstheme="minorHAnsi"/>
          <w:szCs w:val="24"/>
        </w:rPr>
        <w:t xml:space="preserve"> </w:t>
      </w:r>
      <w:r w:rsidR="008E7F91">
        <w:rPr>
          <w:rFonts w:asciiTheme="minorHAnsi" w:hAnsiTheme="minorHAnsi" w:cstheme="minorHAnsi"/>
          <w:szCs w:val="24"/>
        </w:rPr>
        <w:t>Appleseed</w:t>
      </w:r>
      <w:r w:rsidR="00EC35A6" w:rsidRPr="004B2F56">
        <w:rPr>
          <w:rFonts w:asciiTheme="minorHAnsi" w:hAnsiTheme="minorHAnsi" w:cstheme="minorHAnsi"/>
          <w:szCs w:val="24"/>
        </w:rPr>
        <w:t xml:space="preserve">’s </w:t>
      </w:r>
      <w:r w:rsidR="005062F9" w:rsidRPr="004B2F56">
        <w:rPr>
          <w:rFonts w:asciiTheme="minorHAnsi" w:hAnsiTheme="minorHAnsi" w:cstheme="minorHAnsi"/>
          <w:szCs w:val="24"/>
        </w:rPr>
        <w:t xml:space="preserve">actuarial fees; and (5) determination of an appropriate plan for </w:t>
      </w:r>
      <w:r w:rsidR="007A11BF" w:rsidRPr="004B2F56">
        <w:rPr>
          <w:rFonts w:asciiTheme="minorHAnsi" w:hAnsiTheme="minorHAnsi" w:cstheme="minorHAnsi"/>
          <w:szCs w:val="24"/>
        </w:rPr>
        <w:t>“</w:t>
      </w:r>
      <w:r w:rsidR="00EC35A6" w:rsidRPr="004B2F56">
        <w:rPr>
          <w:rFonts w:asciiTheme="minorHAnsi" w:hAnsiTheme="minorHAnsi" w:cstheme="minorHAnsi"/>
          <w:szCs w:val="24"/>
        </w:rPr>
        <w:t>community health reinvestment</w:t>
      </w:r>
      <w:r w:rsidR="007A11BF" w:rsidRPr="004B2F56">
        <w:rPr>
          <w:rFonts w:asciiTheme="minorHAnsi" w:hAnsiTheme="minorHAnsi" w:cstheme="minorHAnsi"/>
          <w:szCs w:val="24"/>
        </w:rPr>
        <w:t>”</w:t>
      </w:r>
      <w:r w:rsidR="00EC35A6" w:rsidRPr="004B2F56">
        <w:rPr>
          <w:rFonts w:asciiTheme="minorHAnsi" w:hAnsiTheme="minorHAnsi" w:cstheme="minorHAnsi"/>
          <w:szCs w:val="24"/>
        </w:rPr>
        <w:t xml:space="preserve"> of </w:t>
      </w:r>
      <w:proofErr w:type="spellStart"/>
      <w:r w:rsidR="00EC35A6" w:rsidRPr="004B2F56">
        <w:rPr>
          <w:rFonts w:asciiTheme="minorHAnsi" w:hAnsiTheme="minorHAnsi" w:cstheme="minorHAnsi"/>
          <w:szCs w:val="24"/>
        </w:rPr>
        <w:t>GHMSI’s</w:t>
      </w:r>
      <w:proofErr w:type="spellEnd"/>
      <w:r w:rsidR="00EC35A6" w:rsidRPr="004B2F56">
        <w:rPr>
          <w:rFonts w:asciiTheme="minorHAnsi" w:hAnsiTheme="minorHAnsi" w:cstheme="minorHAnsi"/>
          <w:szCs w:val="24"/>
        </w:rPr>
        <w:t xml:space="preserve"> excess surplus</w:t>
      </w:r>
      <w:r w:rsidR="005062F9" w:rsidRPr="004B2F56">
        <w:rPr>
          <w:rFonts w:asciiTheme="minorHAnsi" w:hAnsiTheme="minorHAnsi" w:cstheme="minorHAnsi"/>
          <w:szCs w:val="24"/>
        </w:rPr>
        <w:t>.</w:t>
      </w:r>
    </w:p>
    <w:p w:rsidR="005062F9" w:rsidRPr="004B2F56" w:rsidRDefault="005062F9" w:rsidP="00095800">
      <w:pPr>
        <w:pStyle w:val="BodyText"/>
        <w:rPr>
          <w:rFonts w:asciiTheme="minorHAnsi" w:hAnsiTheme="minorHAnsi" w:cstheme="minorHAnsi"/>
          <w:szCs w:val="24"/>
        </w:rPr>
      </w:pPr>
      <w:r w:rsidRPr="004B2F56">
        <w:rPr>
          <w:rFonts w:asciiTheme="minorHAnsi" w:hAnsiTheme="minorHAnsi" w:cstheme="minorHAnsi"/>
          <w:szCs w:val="24"/>
        </w:rPr>
        <w:t xml:space="preserve">Taken together, resolution of these issues consistent with </w:t>
      </w:r>
      <w:proofErr w:type="spellStart"/>
      <w:r w:rsidRPr="004B2F56">
        <w:rPr>
          <w:rFonts w:asciiTheme="minorHAnsi" w:hAnsiTheme="minorHAnsi" w:cstheme="minorHAnsi"/>
          <w:szCs w:val="24"/>
        </w:rPr>
        <w:t>MIEAA</w:t>
      </w:r>
      <w:proofErr w:type="spellEnd"/>
      <w:r w:rsidRPr="004B2F56">
        <w:rPr>
          <w:rFonts w:asciiTheme="minorHAnsi" w:hAnsiTheme="minorHAnsi" w:cstheme="minorHAnsi"/>
          <w:szCs w:val="24"/>
        </w:rPr>
        <w:t xml:space="preserve"> requires </w:t>
      </w:r>
      <w:proofErr w:type="spellStart"/>
      <w:r w:rsidRPr="004B2F56">
        <w:rPr>
          <w:rFonts w:asciiTheme="minorHAnsi" w:hAnsiTheme="minorHAnsi" w:cstheme="minorHAnsi"/>
          <w:szCs w:val="24"/>
        </w:rPr>
        <w:t>GHMSI</w:t>
      </w:r>
      <w:proofErr w:type="spellEnd"/>
      <w:r w:rsidRPr="004B2F56">
        <w:rPr>
          <w:rFonts w:asciiTheme="minorHAnsi" w:hAnsiTheme="minorHAnsi" w:cstheme="minorHAnsi"/>
          <w:szCs w:val="24"/>
        </w:rPr>
        <w:t xml:space="preserve"> to spend </w:t>
      </w:r>
      <w:r w:rsidR="001A65D0" w:rsidRPr="004B2F56">
        <w:rPr>
          <w:rFonts w:cstheme="minorHAnsi"/>
        </w:rPr>
        <w:t>$313.44</w:t>
      </w:r>
      <w:r w:rsidRPr="004B2F56">
        <w:rPr>
          <w:rFonts w:asciiTheme="minorHAnsi" w:hAnsiTheme="minorHAnsi" w:cstheme="minorHAnsi"/>
          <w:szCs w:val="24"/>
        </w:rPr>
        <w:t xml:space="preserve"> million from its current $1.44 billion surplus. Spe</w:t>
      </w:r>
      <w:r w:rsidRPr="00D0141F">
        <w:rPr>
          <w:rFonts w:asciiTheme="minorHAnsi" w:hAnsiTheme="minorHAnsi" w:cstheme="minorHAnsi"/>
          <w:szCs w:val="24"/>
        </w:rPr>
        <w:t xml:space="preserve">nding down this amount will leave </w:t>
      </w:r>
      <w:proofErr w:type="spellStart"/>
      <w:r w:rsidRPr="00D0141F">
        <w:rPr>
          <w:rFonts w:asciiTheme="minorHAnsi" w:hAnsiTheme="minorHAnsi" w:cstheme="minorHAnsi"/>
          <w:szCs w:val="24"/>
        </w:rPr>
        <w:t>GHMSI</w:t>
      </w:r>
      <w:proofErr w:type="spellEnd"/>
      <w:r w:rsidRPr="00D0141F">
        <w:rPr>
          <w:rFonts w:asciiTheme="minorHAnsi" w:hAnsiTheme="minorHAnsi" w:cstheme="minorHAnsi"/>
          <w:szCs w:val="24"/>
        </w:rPr>
        <w:t xml:space="preserve"> with a surplus of $1.13 billion and an RBC </w:t>
      </w:r>
      <w:r w:rsidR="001600A0" w:rsidRPr="00D0141F">
        <w:rPr>
          <w:rFonts w:asciiTheme="minorHAnsi" w:hAnsiTheme="minorHAnsi" w:cstheme="minorHAnsi"/>
          <w:szCs w:val="24"/>
        </w:rPr>
        <w:t xml:space="preserve">ratio </w:t>
      </w:r>
      <w:r w:rsidRPr="00D0141F">
        <w:rPr>
          <w:rFonts w:asciiTheme="minorHAnsi" w:hAnsiTheme="minorHAnsi" w:cstheme="minorHAnsi"/>
          <w:szCs w:val="24"/>
        </w:rPr>
        <w:t>of 851%</w:t>
      </w:r>
      <w:r w:rsidR="00D858F5" w:rsidRPr="004B2F56">
        <w:rPr>
          <w:rFonts w:asciiTheme="minorHAnsi" w:hAnsiTheme="minorHAnsi" w:cstheme="minorHAnsi"/>
          <w:szCs w:val="24"/>
        </w:rPr>
        <w:t>.</w:t>
      </w:r>
    </w:p>
    <w:p w:rsidR="005062F9" w:rsidRPr="004B2F56" w:rsidRDefault="005062F9" w:rsidP="00095800">
      <w:pPr>
        <w:pStyle w:val="BodyText"/>
        <w:rPr>
          <w:rFonts w:asciiTheme="minorHAnsi" w:hAnsiTheme="minorHAnsi" w:cstheme="minorHAnsi"/>
          <w:szCs w:val="24"/>
        </w:rPr>
      </w:pPr>
      <w:r w:rsidRPr="004B2F56">
        <w:rPr>
          <w:rFonts w:asciiTheme="minorHAnsi" w:hAnsiTheme="minorHAnsi" w:cstheme="minorHAnsi"/>
          <w:szCs w:val="24"/>
        </w:rPr>
        <w:t xml:space="preserve">After addressing </w:t>
      </w:r>
      <w:r w:rsidR="001F2097" w:rsidRPr="004B2F56">
        <w:rPr>
          <w:rFonts w:asciiTheme="minorHAnsi" w:hAnsiTheme="minorHAnsi" w:cstheme="minorHAnsi"/>
          <w:szCs w:val="24"/>
        </w:rPr>
        <w:t xml:space="preserve">below </w:t>
      </w:r>
      <w:r w:rsidRPr="004B2F56">
        <w:rPr>
          <w:rFonts w:asciiTheme="minorHAnsi" w:hAnsiTheme="minorHAnsi" w:cstheme="minorHAnsi"/>
          <w:szCs w:val="24"/>
        </w:rPr>
        <w:t xml:space="preserve">the </w:t>
      </w:r>
      <w:r w:rsidR="001600A0" w:rsidRPr="004B2F56">
        <w:rPr>
          <w:rFonts w:asciiTheme="minorHAnsi" w:hAnsiTheme="minorHAnsi" w:cstheme="minorHAnsi"/>
          <w:szCs w:val="24"/>
        </w:rPr>
        <w:t xml:space="preserve">merits of the </w:t>
      </w:r>
      <w:r w:rsidRPr="004B2F56">
        <w:rPr>
          <w:rFonts w:asciiTheme="minorHAnsi" w:hAnsiTheme="minorHAnsi" w:cstheme="minorHAnsi"/>
          <w:szCs w:val="24"/>
        </w:rPr>
        <w:t>five remand issues,</w:t>
      </w:r>
      <w:r w:rsidR="009003EB">
        <w:rPr>
          <w:rFonts w:asciiTheme="minorHAnsi" w:hAnsiTheme="minorHAnsi" w:cstheme="minorHAnsi"/>
          <w:szCs w:val="24"/>
        </w:rPr>
        <w:t xml:space="preserve"> </w:t>
      </w:r>
      <w:r w:rsidR="008E7F91">
        <w:rPr>
          <w:rFonts w:asciiTheme="minorHAnsi" w:hAnsiTheme="minorHAnsi" w:cstheme="minorHAnsi"/>
          <w:szCs w:val="24"/>
        </w:rPr>
        <w:t>Appleseed</w:t>
      </w:r>
      <w:r w:rsidRPr="004B2F56">
        <w:rPr>
          <w:rFonts w:asciiTheme="minorHAnsi" w:hAnsiTheme="minorHAnsi" w:cstheme="minorHAnsi"/>
          <w:szCs w:val="24"/>
        </w:rPr>
        <w:t xml:space="preserve"> </w:t>
      </w:r>
      <w:r w:rsidR="001F2097" w:rsidRPr="004B2F56">
        <w:rPr>
          <w:rFonts w:asciiTheme="minorHAnsi" w:hAnsiTheme="minorHAnsi" w:cstheme="minorHAnsi"/>
          <w:szCs w:val="24"/>
        </w:rPr>
        <w:t xml:space="preserve">then sets forth a proposed </w:t>
      </w:r>
      <w:r w:rsidRPr="004B2F56">
        <w:rPr>
          <w:rFonts w:asciiTheme="minorHAnsi" w:hAnsiTheme="minorHAnsi" w:cstheme="minorHAnsi"/>
          <w:szCs w:val="24"/>
        </w:rPr>
        <w:t xml:space="preserve">procedure for </w:t>
      </w:r>
      <w:r w:rsidR="001F2097" w:rsidRPr="004B2F56">
        <w:rPr>
          <w:rFonts w:asciiTheme="minorHAnsi" w:hAnsiTheme="minorHAnsi" w:cstheme="minorHAnsi"/>
          <w:szCs w:val="24"/>
        </w:rPr>
        <w:t xml:space="preserve">resolving </w:t>
      </w:r>
      <w:r w:rsidRPr="004B2F56">
        <w:rPr>
          <w:rFonts w:asciiTheme="minorHAnsi" w:hAnsiTheme="minorHAnsi" w:cstheme="minorHAnsi"/>
          <w:szCs w:val="24"/>
        </w:rPr>
        <w:t>the issues, taking into account the need to coordinate with Virginia and Maryland.</w:t>
      </w:r>
    </w:p>
    <w:p w:rsidR="005062F9" w:rsidRPr="004B2F56" w:rsidRDefault="001600A0" w:rsidP="00B14007">
      <w:pPr>
        <w:pStyle w:val="Heading3"/>
      </w:pPr>
      <w:bookmarkStart w:id="8" w:name="_Toc40193614"/>
      <w:r w:rsidRPr="004B2F56">
        <w:t xml:space="preserve">The Effect of </w:t>
      </w:r>
      <w:r w:rsidR="005062F9" w:rsidRPr="004B2F56">
        <w:t>Equity Portfolio Risk</w:t>
      </w:r>
      <w:r w:rsidRPr="004B2F56">
        <w:t xml:space="preserve"> on </w:t>
      </w:r>
      <w:proofErr w:type="spellStart"/>
      <w:r w:rsidRPr="004B2F56">
        <w:t>GHMSI’s</w:t>
      </w:r>
      <w:proofErr w:type="spellEnd"/>
      <w:r w:rsidRPr="004B2F56">
        <w:t xml:space="preserve"> Need For Su</w:t>
      </w:r>
      <w:r w:rsidR="0055422B" w:rsidRPr="004B2F56">
        <w:t>r</w:t>
      </w:r>
      <w:r w:rsidRPr="004B2F56">
        <w:t>plus</w:t>
      </w:r>
      <w:bookmarkEnd w:id="8"/>
    </w:p>
    <w:p w:rsidR="005062F9" w:rsidRPr="004B2F56" w:rsidRDefault="00B93E92" w:rsidP="00B14007">
      <w:pPr>
        <w:pStyle w:val="Heading4"/>
        <w:keepNext/>
      </w:pPr>
      <w:r w:rsidRPr="004B2F56">
        <w:t>The</w:t>
      </w:r>
      <w:r w:rsidR="005062F9" w:rsidRPr="004B2F56">
        <w:t xml:space="preserve"> Court of Appeals’ Directive </w:t>
      </w:r>
      <w:r w:rsidR="00DA317D" w:rsidRPr="004B2F56">
        <w:t>on</w:t>
      </w:r>
      <w:r w:rsidR="005062F9" w:rsidRPr="004B2F56">
        <w:t xml:space="preserve"> Remand</w:t>
      </w:r>
    </w:p>
    <w:p w:rsidR="005062F9" w:rsidRPr="004B2F56" w:rsidRDefault="005062F9" w:rsidP="00FE3CE0">
      <w:pPr>
        <w:spacing w:after="240"/>
        <w:ind w:firstLine="720"/>
        <w:jc w:val="both"/>
        <w:rPr>
          <w:rFonts w:cstheme="minorHAnsi"/>
        </w:rPr>
      </w:pPr>
      <w:r w:rsidRPr="004B2F56">
        <w:rPr>
          <w:rFonts w:cstheme="minorHAnsi"/>
        </w:rPr>
        <w:t xml:space="preserve">As the Court stated, in determining </w:t>
      </w:r>
      <w:proofErr w:type="spellStart"/>
      <w:r w:rsidRPr="004B2F56">
        <w:rPr>
          <w:rFonts w:cstheme="minorHAnsi"/>
        </w:rPr>
        <w:t>GHMSI’s</w:t>
      </w:r>
      <w:proofErr w:type="spellEnd"/>
      <w:r w:rsidRPr="004B2F56">
        <w:rPr>
          <w:rFonts w:cstheme="minorHAnsi"/>
        </w:rPr>
        <w:t xml:space="preserve"> permissible surplus as of December 31, 2011, “the actuaries attempted to predict the range of possible future gains and losses” on </w:t>
      </w:r>
      <w:proofErr w:type="spellStart"/>
      <w:r w:rsidR="000C2E8A" w:rsidRPr="004B2F56">
        <w:rPr>
          <w:rFonts w:cstheme="minorHAnsi"/>
        </w:rPr>
        <w:t>GHMSI’s</w:t>
      </w:r>
      <w:proofErr w:type="spellEnd"/>
      <w:r w:rsidR="000C2E8A" w:rsidRPr="004B2F56">
        <w:rPr>
          <w:rFonts w:cstheme="minorHAnsi"/>
        </w:rPr>
        <w:t xml:space="preserve"> </w:t>
      </w:r>
      <w:r w:rsidRPr="004B2F56">
        <w:rPr>
          <w:rFonts w:cstheme="minorHAnsi"/>
        </w:rPr>
        <w:t>equity investments.</w:t>
      </w:r>
      <w:r w:rsidR="0004003D" w:rsidRPr="004B2F56">
        <w:rPr>
          <w:rFonts w:cstheme="minorHAnsi"/>
        </w:rPr>
        <w:t xml:space="preserve"> </w:t>
      </w:r>
      <w:r w:rsidR="0004003D" w:rsidRPr="004B2F56">
        <w:rPr>
          <w:rFonts w:cstheme="minorHAnsi"/>
          <w:i/>
        </w:rPr>
        <w:t>D.C. Appleseed</w:t>
      </w:r>
      <w:r w:rsidR="0004003D" w:rsidRPr="004B2F56">
        <w:rPr>
          <w:rFonts w:cstheme="minorHAnsi"/>
        </w:rPr>
        <w:t xml:space="preserve">, 214 </w:t>
      </w:r>
      <w:proofErr w:type="spellStart"/>
      <w:r w:rsidR="0004003D" w:rsidRPr="004B2F56">
        <w:rPr>
          <w:rFonts w:cstheme="minorHAnsi"/>
        </w:rPr>
        <w:t>A.3d</w:t>
      </w:r>
      <w:proofErr w:type="spellEnd"/>
      <w:r w:rsidR="0004003D" w:rsidRPr="004B2F56">
        <w:rPr>
          <w:rFonts w:cstheme="minorHAnsi"/>
        </w:rPr>
        <w:t xml:space="preserve"> </w:t>
      </w:r>
      <w:r w:rsidR="00534C4C">
        <w:rPr>
          <w:rFonts w:cstheme="minorHAnsi"/>
        </w:rPr>
        <w:t>at</w:t>
      </w:r>
      <w:r w:rsidR="0004003D" w:rsidRPr="004B2F56">
        <w:rPr>
          <w:rFonts w:cstheme="minorHAnsi"/>
        </w:rPr>
        <w:t xml:space="preserve"> 992.</w:t>
      </w:r>
      <w:r w:rsidRPr="004B2F56">
        <w:rPr>
          <w:rFonts w:cstheme="minorHAnsi"/>
        </w:rPr>
        <w:t xml:space="preserve"> The purpose of the prediction was to assess the impact of such gains and losses on </w:t>
      </w:r>
      <w:proofErr w:type="spellStart"/>
      <w:r w:rsidR="000C2E8A" w:rsidRPr="004B2F56">
        <w:rPr>
          <w:rFonts w:cstheme="minorHAnsi"/>
        </w:rPr>
        <w:t>GHMSI’s</w:t>
      </w:r>
      <w:proofErr w:type="spellEnd"/>
      <w:r w:rsidR="000C2E8A" w:rsidRPr="004B2F56">
        <w:rPr>
          <w:rFonts w:cstheme="minorHAnsi"/>
        </w:rPr>
        <w:t xml:space="preserve"> </w:t>
      </w:r>
      <w:r w:rsidRPr="004B2F56">
        <w:rPr>
          <w:rFonts w:cstheme="minorHAnsi"/>
        </w:rPr>
        <w:t xml:space="preserve">projected revenues and thus on </w:t>
      </w:r>
      <w:r w:rsidR="000C2E8A" w:rsidRPr="004B2F56">
        <w:rPr>
          <w:rFonts w:cstheme="minorHAnsi"/>
        </w:rPr>
        <w:t>the level of surplus it needed to maintain</w:t>
      </w:r>
      <w:r w:rsidR="00C856BF">
        <w:rPr>
          <w:rFonts w:cstheme="minorHAnsi"/>
        </w:rPr>
        <w:t xml:space="preserve"> to protect against potential losses to the portfolio</w:t>
      </w:r>
      <w:r w:rsidR="000C2E8A" w:rsidRPr="004B2F56">
        <w:rPr>
          <w:rFonts w:cstheme="minorHAnsi"/>
        </w:rPr>
        <w:t xml:space="preserve">, </w:t>
      </w:r>
      <w:r w:rsidR="000C2E8A" w:rsidRPr="004B2F56">
        <w:rPr>
          <w:rFonts w:cstheme="minorHAnsi"/>
          <w:i/>
        </w:rPr>
        <w:t>i.e.</w:t>
      </w:r>
      <w:r w:rsidR="000C2E8A" w:rsidRPr="004B2F56">
        <w:rPr>
          <w:rFonts w:cstheme="minorHAnsi"/>
        </w:rPr>
        <w:t xml:space="preserve">, before the surplus </w:t>
      </w:r>
      <w:r w:rsidR="001F2097" w:rsidRPr="004B2F56">
        <w:rPr>
          <w:rFonts w:cstheme="minorHAnsi"/>
        </w:rPr>
        <w:t xml:space="preserve">reached an </w:t>
      </w:r>
      <w:r w:rsidR="000C2E8A" w:rsidRPr="004B2F56">
        <w:rPr>
          <w:rFonts w:cstheme="minorHAnsi"/>
        </w:rPr>
        <w:t>excessive</w:t>
      </w:r>
      <w:r w:rsidR="001F2097" w:rsidRPr="004B2F56">
        <w:rPr>
          <w:rFonts w:cstheme="minorHAnsi"/>
        </w:rPr>
        <w:t xml:space="preserve"> level that required additional surplus to be reinvested for community health</w:t>
      </w:r>
      <w:r w:rsidRPr="004B2F56">
        <w:rPr>
          <w:rFonts w:cstheme="minorHAnsi"/>
        </w:rPr>
        <w:t>.</w:t>
      </w:r>
      <w:r w:rsidR="007D4667">
        <w:rPr>
          <w:rFonts w:cstheme="minorHAnsi"/>
        </w:rPr>
        <w:t xml:space="preserve"> </w:t>
      </w:r>
      <w:r w:rsidR="00D858F5" w:rsidRPr="004B2F56">
        <w:rPr>
          <w:rFonts w:cstheme="minorHAnsi"/>
        </w:rPr>
        <w:t>2014 Decision at 31</w:t>
      </w:r>
      <w:r w:rsidRPr="004B2F56">
        <w:rPr>
          <w:rFonts w:cstheme="minorHAnsi"/>
        </w:rPr>
        <w:t>.</w:t>
      </w:r>
    </w:p>
    <w:p w:rsidR="005062F9" w:rsidRPr="004B2F56" w:rsidRDefault="005062F9" w:rsidP="00FE3CE0">
      <w:pPr>
        <w:spacing w:after="240"/>
        <w:ind w:firstLine="720"/>
        <w:jc w:val="both"/>
        <w:rPr>
          <w:rFonts w:cstheme="minorHAnsi"/>
        </w:rPr>
      </w:pPr>
      <w:r w:rsidRPr="004B2F56">
        <w:rPr>
          <w:rFonts w:cstheme="minorHAnsi"/>
        </w:rPr>
        <w:t xml:space="preserve">During the administrative proceedings, Appleseed objected that </w:t>
      </w:r>
      <w:proofErr w:type="spellStart"/>
      <w:r w:rsidRPr="004B2F56">
        <w:rPr>
          <w:rFonts w:cstheme="minorHAnsi"/>
        </w:rPr>
        <w:t>GHMSI’s</w:t>
      </w:r>
      <w:proofErr w:type="spellEnd"/>
      <w:r w:rsidRPr="004B2F56">
        <w:rPr>
          <w:rFonts w:cstheme="minorHAnsi"/>
        </w:rPr>
        <w:t xml:space="preserve"> expert </w:t>
      </w:r>
      <w:r w:rsidR="00B93E92" w:rsidRPr="004B2F56">
        <w:rPr>
          <w:rFonts w:cstheme="minorHAnsi"/>
        </w:rPr>
        <w:t>“</w:t>
      </w:r>
      <w:proofErr w:type="spellStart"/>
      <w:r w:rsidR="00B93E92" w:rsidRPr="004B2F56">
        <w:rPr>
          <w:rFonts w:cstheme="minorHAnsi"/>
        </w:rPr>
        <w:t>exaggerat</w:t>
      </w:r>
      <w:proofErr w:type="spellEnd"/>
      <w:r w:rsidR="0004003D" w:rsidRPr="004B2F56">
        <w:rPr>
          <w:rFonts w:cstheme="minorHAnsi"/>
        </w:rPr>
        <w:t>[</w:t>
      </w:r>
      <w:proofErr w:type="spellStart"/>
      <w:r w:rsidR="00B93E92" w:rsidRPr="004B2F56">
        <w:rPr>
          <w:rFonts w:cstheme="minorHAnsi"/>
        </w:rPr>
        <w:t>ed</w:t>
      </w:r>
      <w:proofErr w:type="spellEnd"/>
      <w:r w:rsidR="0004003D" w:rsidRPr="004B2F56">
        <w:rPr>
          <w:rFonts w:cstheme="minorHAnsi"/>
        </w:rPr>
        <w:t>]</w:t>
      </w:r>
      <w:r w:rsidRPr="004B2F56">
        <w:rPr>
          <w:rFonts w:cstheme="minorHAnsi"/>
        </w:rPr>
        <w:t xml:space="preserve"> the effect of potential equity portfolio losses,” thereby significantly overstating </w:t>
      </w:r>
      <w:proofErr w:type="spellStart"/>
      <w:r w:rsidR="000C2E8A" w:rsidRPr="004B2F56">
        <w:rPr>
          <w:rFonts w:cstheme="minorHAnsi"/>
        </w:rPr>
        <w:t>GHMSI’s</w:t>
      </w:r>
      <w:proofErr w:type="spellEnd"/>
      <w:r w:rsidR="000C2E8A" w:rsidRPr="004B2F56">
        <w:rPr>
          <w:rFonts w:cstheme="minorHAnsi"/>
        </w:rPr>
        <w:t xml:space="preserve"> </w:t>
      </w:r>
      <w:r w:rsidRPr="004B2F56">
        <w:rPr>
          <w:rFonts w:cstheme="minorHAnsi"/>
        </w:rPr>
        <w:t xml:space="preserve">need for surplus to cover such losses. </w:t>
      </w:r>
      <w:r w:rsidR="0004003D" w:rsidRPr="004B2F56">
        <w:rPr>
          <w:rFonts w:cstheme="minorHAnsi"/>
          <w:i/>
        </w:rPr>
        <w:t>D.C. Appleseed</w:t>
      </w:r>
      <w:r w:rsidR="0004003D" w:rsidRPr="004B2F56">
        <w:rPr>
          <w:rFonts w:cstheme="minorHAnsi"/>
        </w:rPr>
        <w:t xml:space="preserve">, 214 </w:t>
      </w:r>
      <w:proofErr w:type="spellStart"/>
      <w:r w:rsidR="0004003D" w:rsidRPr="004B2F56">
        <w:rPr>
          <w:rFonts w:cstheme="minorHAnsi"/>
        </w:rPr>
        <w:t>A.3d</w:t>
      </w:r>
      <w:proofErr w:type="spellEnd"/>
      <w:r w:rsidR="0004003D" w:rsidRPr="004B2F56">
        <w:rPr>
          <w:rFonts w:cstheme="minorHAnsi"/>
        </w:rPr>
        <w:t xml:space="preserve"> at 992</w:t>
      </w:r>
      <w:r w:rsidR="007D4667">
        <w:rPr>
          <w:rFonts w:cstheme="minorHAnsi"/>
        </w:rPr>
        <w:t xml:space="preserve">. </w:t>
      </w:r>
      <w:r w:rsidR="005867A8" w:rsidRPr="004B2F56">
        <w:rPr>
          <w:rFonts w:cstheme="minorHAnsi"/>
        </w:rPr>
        <w:t>Nonetheless</w:t>
      </w:r>
      <w:r w:rsidRPr="004B2F56">
        <w:rPr>
          <w:rFonts w:cstheme="minorHAnsi"/>
        </w:rPr>
        <w:t xml:space="preserve">, </w:t>
      </w:r>
      <w:proofErr w:type="spellStart"/>
      <w:r w:rsidRPr="004B2F56">
        <w:rPr>
          <w:rFonts w:cstheme="minorHAnsi"/>
        </w:rPr>
        <w:t>DISB’s</w:t>
      </w:r>
      <w:proofErr w:type="spellEnd"/>
      <w:r w:rsidRPr="004B2F56">
        <w:rPr>
          <w:rFonts w:cstheme="minorHAnsi"/>
        </w:rPr>
        <w:t xml:space="preserve"> expert and the Commissioner “adopted [</w:t>
      </w:r>
      <w:proofErr w:type="spellStart"/>
      <w:r w:rsidR="00EC35A6" w:rsidRPr="004B2F56">
        <w:rPr>
          <w:rFonts w:cstheme="minorHAnsi"/>
        </w:rPr>
        <w:t>GHMSI’s</w:t>
      </w:r>
      <w:proofErr w:type="spellEnd"/>
      <w:r w:rsidRPr="004B2F56">
        <w:rPr>
          <w:rFonts w:cstheme="minorHAnsi"/>
        </w:rPr>
        <w:t>] approach . . . without mentioning Appleseed’s objection.”</w:t>
      </w:r>
      <w:r w:rsidR="007D4667">
        <w:rPr>
          <w:rFonts w:cstheme="minorHAnsi"/>
        </w:rPr>
        <w:t xml:space="preserve"> </w:t>
      </w:r>
      <w:r w:rsidRPr="004B2F56">
        <w:rPr>
          <w:rFonts w:cstheme="minorHAnsi"/>
        </w:rPr>
        <w:t xml:space="preserve">The Court </w:t>
      </w:r>
      <w:r w:rsidR="005867A8" w:rsidRPr="004B2F56">
        <w:rPr>
          <w:rFonts w:cstheme="minorHAnsi"/>
        </w:rPr>
        <w:t xml:space="preserve">of Appeals has </w:t>
      </w:r>
      <w:r w:rsidRPr="004B2F56">
        <w:rPr>
          <w:rFonts w:cstheme="minorHAnsi"/>
        </w:rPr>
        <w:t>“remand[</w:t>
      </w:r>
      <w:proofErr w:type="spellStart"/>
      <w:r w:rsidRPr="004B2F56">
        <w:rPr>
          <w:rFonts w:cstheme="minorHAnsi"/>
        </w:rPr>
        <w:t>ed</w:t>
      </w:r>
      <w:proofErr w:type="spellEnd"/>
      <w:r w:rsidRPr="004B2F56">
        <w:rPr>
          <w:rFonts w:cstheme="minorHAnsi"/>
        </w:rPr>
        <w:t xml:space="preserve">] this issue for the Commissioner to specifically address Appleseed’s objection.” </w:t>
      </w:r>
      <w:r w:rsidRPr="004B2F56">
        <w:rPr>
          <w:rFonts w:cstheme="minorHAnsi"/>
          <w:i/>
        </w:rPr>
        <w:t>Id</w:t>
      </w:r>
      <w:r w:rsidRPr="004B2F56">
        <w:rPr>
          <w:rFonts w:cstheme="minorHAnsi"/>
        </w:rPr>
        <w:t>.</w:t>
      </w:r>
    </w:p>
    <w:p w:rsidR="0050553E" w:rsidRPr="004B2F56" w:rsidRDefault="008E7F91" w:rsidP="00FE3CE0">
      <w:pPr>
        <w:spacing w:after="240"/>
        <w:ind w:firstLine="720"/>
        <w:jc w:val="both"/>
        <w:rPr>
          <w:rFonts w:cstheme="minorHAnsi"/>
        </w:rPr>
      </w:pPr>
      <w:r>
        <w:rPr>
          <w:rFonts w:cstheme="minorHAnsi"/>
        </w:rPr>
        <w:t xml:space="preserve"> Appleseed</w:t>
      </w:r>
      <w:r w:rsidR="0050553E" w:rsidRPr="004B2F56">
        <w:rPr>
          <w:rFonts w:cstheme="minorHAnsi"/>
        </w:rPr>
        <w:t xml:space="preserve">’s objection to </w:t>
      </w:r>
      <w:proofErr w:type="spellStart"/>
      <w:r w:rsidR="005867A8" w:rsidRPr="004B2F56">
        <w:rPr>
          <w:rFonts w:cstheme="minorHAnsi"/>
        </w:rPr>
        <w:t>GHMSI’s</w:t>
      </w:r>
      <w:proofErr w:type="spellEnd"/>
      <w:r w:rsidR="005867A8" w:rsidRPr="004B2F56">
        <w:rPr>
          <w:rFonts w:cstheme="minorHAnsi"/>
        </w:rPr>
        <w:t xml:space="preserve"> prediction </w:t>
      </w:r>
      <w:r w:rsidR="0050553E" w:rsidRPr="004B2F56">
        <w:rPr>
          <w:rFonts w:cstheme="minorHAnsi"/>
        </w:rPr>
        <w:t>is twofold. First, it contains significant error</w:t>
      </w:r>
      <w:r w:rsidR="00C856BF">
        <w:rPr>
          <w:rFonts w:cstheme="minorHAnsi"/>
        </w:rPr>
        <w:t>s</w:t>
      </w:r>
      <w:r w:rsidR="0050553E" w:rsidRPr="004B2F56">
        <w:rPr>
          <w:rFonts w:cstheme="minorHAnsi"/>
        </w:rPr>
        <w:t xml:space="preserve"> in calculation, which </w:t>
      </w:r>
      <w:r w:rsidR="007B32B2">
        <w:rPr>
          <w:rFonts w:cstheme="minorHAnsi"/>
        </w:rPr>
        <w:t>the District’s Attorney General’s Office (“</w:t>
      </w:r>
      <w:proofErr w:type="spellStart"/>
      <w:r w:rsidR="007B32B2">
        <w:rPr>
          <w:rFonts w:cstheme="minorHAnsi"/>
        </w:rPr>
        <w:t>OAG</w:t>
      </w:r>
      <w:proofErr w:type="spellEnd"/>
      <w:r w:rsidR="007B32B2">
        <w:rPr>
          <w:rFonts w:cstheme="minorHAnsi"/>
        </w:rPr>
        <w:t>”)</w:t>
      </w:r>
      <w:r w:rsidR="007B32B2" w:rsidRPr="004B2F56">
        <w:rPr>
          <w:rFonts w:cstheme="minorHAnsi"/>
        </w:rPr>
        <w:t xml:space="preserve"> </w:t>
      </w:r>
      <w:r w:rsidR="0050553E" w:rsidRPr="004B2F56">
        <w:rPr>
          <w:rFonts w:cstheme="minorHAnsi"/>
        </w:rPr>
        <w:t xml:space="preserve">and </w:t>
      </w:r>
      <w:proofErr w:type="spellStart"/>
      <w:r w:rsidR="0050553E" w:rsidRPr="004B2F56">
        <w:rPr>
          <w:rFonts w:cstheme="minorHAnsi"/>
        </w:rPr>
        <w:t>GHMSI</w:t>
      </w:r>
      <w:proofErr w:type="spellEnd"/>
      <w:r w:rsidR="0050553E" w:rsidRPr="004B2F56">
        <w:rPr>
          <w:rFonts w:cstheme="minorHAnsi"/>
        </w:rPr>
        <w:t xml:space="preserve"> have attempted to walk back or downplay. Second, th</w:t>
      </w:r>
      <w:r w:rsidR="00C856BF">
        <w:rPr>
          <w:rFonts w:cstheme="minorHAnsi"/>
        </w:rPr>
        <w:t>ose</w:t>
      </w:r>
      <w:r w:rsidR="0050553E" w:rsidRPr="004B2F56">
        <w:rPr>
          <w:rFonts w:cstheme="minorHAnsi"/>
        </w:rPr>
        <w:t xml:space="preserve"> </w:t>
      </w:r>
      <w:r w:rsidR="005867A8" w:rsidRPr="004B2F56">
        <w:rPr>
          <w:rFonts w:cstheme="minorHAnsi"/>
        </w:rPr>
        <w:t xml:space="preserve">significant </w:t>
      </w:r>
      <w:r w:rsidR="0050553E" w:rsidRPr="004B2F56">
        <w:rPr>
          <w:rFonts w:cstheme="minorHAnsi"/>
        </w:rPr>
        <w:t>miscalculation</w:t>
      </w:r>
      <w:r w:rsidR="00C856BF">
        <w:rPr>
          <w:rFonts w:cstheme="minorHAnsi"/>
        </w:rPr>
        <w:t>s</w:t>
      </w:r>
      <w:r w:rsidR="0050553E" w:rsidRPr="004B2F56">
        <w:rPr>
          <w:rFonts w:cstheme="minorHAnsi"/>
        </w:rPr>
        <w:t xml:space="preserve"> </w:t>
      </w:r>
      <w:r w:rsidR="00EF5A4F" w:rsidRPr="004B2F56">
        <w:rPr>
          <w:rFonts w:cstheme="minorHAnsi"/>
        </w:rPr>
        <w:t>produce a result t</w:t>
      </w:r>
      <w:r w:rsidR="0050553E" w:rsidRPr="004B2F56">
        <w:rPr>
          <w:rFonts w:cstheme="minorHAnsi"/>
        </w:rPr>
        <w:t>hat is inconsistent with the Commissioner’s</w:t>
      </w:r>
      <w:r w:rsidR="004220A4">
        <w:rPr>
          <w:rFonts w:cstheme="minorHAnsi"/>
        </w:rPr>
        <w:t xml:space="preserve"> own</w:t>
      </w:r>
      <w:r w:rsidR="0050553E" w:rsidRPr="004B2F56">
        <w:rPr>
          <w:rFonts w:cstheme="minorHAnsi"/>
        </w:rPr>
        <w:t xml:space="preserve"> determination that </w:t>
      </w:r>
      <w:proofErr w:type="spellStart"/>
      <w:r w:rsidR="0050553E" w:rsidRPr="004B2F56">
        <w:rPr>
          <w:rFonts w:cstheme="minorHAnsi"/>
        </w:rPr>
        <w:t>MIEAA</w:t>
      </w:r>
      <w:proofErr w:type="spellEnd"/>
      <w:r w:rsidR="0050553E" w:rsidRPr="004B2F56">
        <w:rPr>
          <w:rFonts w:cstheme="minorHAnsi"/>
        </w:rPr>
        <w:t xml:space="preserve"> requires the use of “middle of the fairway” projections in </w:t>
      </w:r>
      <w:r w:rsidR="008450AB" w:rsidRPr="004B2F56">
        <w:rPr>
          <w:rFonts w:cstheme="minorHAnsi"/>
        </w:rPr>
        <w:t xml:space="preserve">assessing </w:t>
      </w:r>
      <w:proofErr w:type="spellStart"/>
      <w:r w:rsidR="0050553E" w:rsidRPr="004B2F56">
        <w:rPr>
          <w:rFonts w:cstheme="minorHAnsi"/>
        </w:rPr>
        <w:t>GHMSI’</w:t>
      </w:r>
      <w:r w:rsidR="00C85142" w:rsidRPr="004B2F56">
        <w:rPr>
          <w:rFonts w:cstheme="minorHAnsi"/>
        </w:rPr>
        <w:t>s</w:t>
      </w:r>
      <w:proofErr w:type="spellEnd"/>
      <w:r w:rsidR="00C85142" w:rsidRPr="004B2F56">
        <w:rPr>
          <w:rFonts w:cstheme="minorHAnsi"/>
        </w:rPr>
        <w:t xml:space="preserve"> surplus. </w:t>
      </w:r>
    </w:p>
    <w:p w:rsidR="00EF5A4F" w:rsidRPr="004B2F56" w:rsidRDefault="00EF5A4F" w:rsidP="00B14007">
      <w:pPr>
        <w:pStyle w:val="Heading4"/>
        <w:keepNext/>
      </w:pPr>
      <w:r w:rsidRPr="004B2F56">
        <w:lastRenderedPageBreak/>
        <w:t xml:space="preserve">Correcting the Commissioner’s </w:t>
      </w:r>
      <w:r w:rsidR="009425F4" w:rsidRPr="004B2F56">
        <w:t xml:space="preserve">Calculation </w:t>
      </w:r>
      <w:r w:rsidRPr="004B2F56">
        <w:t>Error</w:t>
      </w:r>
    </w:p>
    <w:p w:rsidR="00195064" w:rsidRDefault="00EF5A4F" w:rsidP="00FE3CE0">
      <w:pPr>
        <w:spacing w:after="240"/>
        <w:ind w:firstLine="720"/>
        <w:jc w:val="both"/>
        <w:rPr>
          <w:rFonts w:cstheme="minorHAnsi"/>
        </w:rPr>
      </w:pPr>
      <w:r w:rsidRPr="004B2F56">
        <w:rPr>
          <w:rFonts w:cstheme="minorHAnsi"/>
        </w:rPr>
        <w:t>The</w:t>
      </w:r>
      <w:r w:rsidR="004220A4">
        <w:rPr>
          <w:rFonts w:cstheme="minorHAnsi"/>
        </w:rPr>
        <w:t xml:space="preserve"> reason the Commissioner “</w:t>
      </w:r>
      <w:proofErr w:type="spellStart"/>
      <w:r w:rsidR="004220A4">
        <w:rPr>
          <w:rFonts w:cstheme="minorHAnsi"/>
        </w:rPr>
        <w:t>exaggerat</w:t>
      </w:r>
      <w:proofErr w:type="spellEnd"/>
      <w:r w:rsidR="004220A4">
        <w:rPr>
          <w:rFonts w:cstheme="minorHAnsi"/>
        </w:rPr>
        <w:t>[</w:t>
      </w:r>
      <w:proofErr w:type="spellStart"/>
      <w:r w:rsidR="004220A4">
        <w:rPr>
          <w:rFonts w:cstheme="minorHAnsi"/>
        </w:rPr>
        <w:t>ed</w:t>
      </w:r>
      <w:proofErr w:type="spellEnd"/>
      <w:r w:rsidR="004220A4">
        <w:rPr>
          <w:rFonts w:cstheme="minorHAnsi"/>
        </w:rPr>
        <w:t>] the effect of potential equity portfolio losses</w:t>
      </w:r>
      <w:r w:rsidR="008425DF">
        <w:rPr>
          <w:rFonts w:cstheme="minorHAnsi"/>
        </w:rPr>
        <w:t>”</w:t>
      </w:r>
      <w:r w:rsidR="008425DF" w:rsidRPr="004B2F56">
        <w:rPr>
          <w:rFonts w:cstheme="minorHAnsi"/>
        </w:rPr>
        <w:t xml:space="preserve"> </w:t>
      </w:r>
      <w:r w:rsidR="008425DF">
        <w:rPr>
          <w:rFonts w:cstheme="minorHAnsi"/>
        </w:rPr>
        <w:t>was</w:t>
      </w:r>
      <w:r w:rsidR="008F3371">
        <w:rPr>
          <w:rFonts w:cstheme="minorHAnsi"/>
        </w:rPr>
        <w:t xml:space="preserve"> that he measured the ri</w:t>
      </w:r>
      <w:r w:rsidR="0039234F">
        <w:rPr>
          <w:rFonts w:cstheme="minorHAnsi"/>
        </w:rPr>
        <w:t xml:space="preserve">sk of those losses not against </w:t>
      </w:r>
      <w:proofErr w:type="spellStart"/>
      <w:r w:rsidR="008F3371">
        <w:rPr>
          <w:rFonts w:cstheme="minorHAnsi"/>
        </w:rPr>
        <w:t>GHMSI’s</w:t>
      </w:r>
      <w:proofErr w:type="spellEnd"/>
      <w:r w:rsidR="00C856BF">
        <w:rPr>
          <w:rFonts w:cstheme="minorHAnsi"/>
        </w:rPr>
        <w:t xml:space="preserve"> equity portfolio but</w:t>
      </w:r>
      <w:r w:rsidRPr="004B2F56">
        <w:rPr>
          <w:rFonts w:cstheme="minorHAnsi"/>
        </w:rPr>
        <w:t xml:space="preserve"> </w:t>
      </w:r>
      <w:r w:rsidR="008F3371">
        <w:rPr>
          <w:rFonts w:cstheme="minorHAnsi"/>
        </w:rPr>
        <w:t>against</w:t>
      </w:r>
      <w:r w:rsidRPr="004B2F56">
        <w:rPr>
          <w:rFonts w:cstheme="minorHAnsi"/>
        </w:rPr>
        <w:t xml:space="preserve"> </w:t>
      </w:r>
      <w:proofErr w:type="spellStart"/>
      <w:r w:rsidRPr="004B2F56">
        <w:rPr>
          <w:rFonts w:cstheme="minorHAnsi"/>
        </w:rPr>
        <w:t>GH</w:t>
      </w:r>
      <w:r w:rsidR="00ED46EE">
        <w:rPr>
          <w:rFonts w:cstheme="minorHAnsi"/>
        </w:rPr>
        <w:t>MS</w:t>
      </w:r>
      <w:r w:rsidRPr="004B2F56">
        <w:rPr>
          <w:rFonts w:cstheme="minorHAnsi"/>
        </w:rPr>
        <w:t>I’s</w:t>
      </w:r>
      <w:proofErr w:type="spellEnd"/>
      <w:r w:rsidRPr="004B2F56">
        <w:rPr>
          <w:rFonts w:cstheme="minorHAnsi"/>
        </w:rPr>
        <w:t xml:space="preserve"> projected </w:t>
      </w:r>
      <w:proofErr w:type="spellStart"/>
      <w:r w:rsidRPr="004B2F56">
        <w:rPr>
          <w:rFonts w:cstheme="minorHAnsi"/>
        </w:rPr>
        <w:t>nonFEP</w:t>
      </w:r>
      <w:proofErr w:type="spellEnd"/>
      <w:r w:rsidRPr="004B2F56">
        <w:rPr>
          <w:rFonts w:cstheme="minorHAnsi"/>
        </w:rPr>
        <w:t xml:space="preserve"> premium revenue</w:t>
      </w:r>
      <w:r w:rsidR="009425F4" w:rsidRPr="004B2F56">
        <w:rPr>
          <w:rFonts w:cstheme="minorHAnsi"/>
        </w:rPr>
        <w:t xml:space="preserve"> of $3.038 billion.</w:t>
      </w:r>
      <w:r w:rsidR="007D4667">
        <w:rPr>
          <w:rFonts w:cstheme="minorHAnsi"/>
        </w:rPr>
        <w:t xml:space="preserve"> </w:t>
      </w:r>
      <w:proofErr w:type="spellStart"/>
      <w:r w:rsidR="00526031">
        <w:rPr>
          <w:rFonts w:cstheme="minorHAnsi"/>
        </w:rPr>
        <w:t>A129</w:t>
      </w:r>
      <w:proofErr w:type="spellEnd"/>
      <w:r w:rsidR="00526031">
        <w:rPr>
          <w:rFonts w:cstheme="minorHAnsi"/>
        </w:rPr>
        <w:t xml:space="preserve">, </w:t>
      </w:r>
      <w:proofErr w:type="spellStart"/>
      <w:r w:rsidR="00526031">
        <w:rPr>
          <w:rFonts w:cstheme="minorHAnsi"/>
        </w:rPr>
        <w:t>A1588</w:t>
      </w:r>
      <w:proofErr w:type="spellEnd"/>
      <w:r w:rsidR="00526031">
        <w:rPr>
          <w:rFonts w:cstheme="minorHAnsi"/>
        </w:rPr>
        <w:t>.</w:t>
      </w:r>
      <w:r w:rsidR="00B14007">
        <w:rPr>
          <w:rFonts w:cstheme="minorHAnsi"/>
        </w:rPr>
        <w:t xml:space="preserve"> </w:t>
      </w:r>
      <w:r w:rsidR="00C856BF">
        <w:rPr>
          <w:rFonts w:cstheme="minorHAnsi"/>
        </w:rPr>
        <w:t>T</w:t>
      </w:r>
      <w:r w:rsidRPr="004B2F56">
        <w:rPr>
          <w:rFonts w:cstheme="minorHAnsi"/>
        </w:rPr>
        <w:t xml:space="preserve">he equity portfolio is only 16% of the size of </w:t>
      </w:r>
      <w:proofErr w:type="spellStart"/>
      <w:r w:rsidRPr="004B2F56">
        <w:rPr>
          <w:rFonts w:cstheme="minorHAnsi"/>
        </w:rPr>
        <w:t>GHMSI’s</w:t>
      </w:r>
      <w:proofErr w:type="spellEnd"/>
      <w:r w:rsidRPr="004B2F56">
        <w:rPr>
          <w:rFonts w:cstheme="minorHAnsi"/>
        </w:rPr>
        <w:t xml:space="preserve"> </w:t>
      </w:r>
      <w:proofErr w:type="spellStart"/>
      <w:r w:rsidRPr="004B2F56">
        <w:rPr>
          <w:rFonts w:cstheme="minorHAnsi"/>
        </w:rPr>
        <w:t>nonFEP</w:t>
      </w:r>
      <w:proofErr w:type="spellEnd"/>
      <w:r w:rsidRPr="004B2F56">
        <w:rPr>
          <w:rFonts w:cstheme="minorHAnsi"/>
        </w:rPr>
        <w:t xml:space="preserve"> premium revenue</w:t>
      </w:r>
      <w:r w:rsidR="00C856BF">
        <w:rPr>
          <w:rFonts w:cstheme="minorHAnsi"/>
        </w:rPr>
        <w:t xml:space="preserve">, as </w:t>
      </w:r>
      <w:proofErr w:type="spellStart"/>
      <w:r w:rsidR="00C856BF">
        <w:rPr>
          <w:rFonts w:cstheme="minorHAnsi"/>
        </w:rPr>
        <w:t>Milliman</w:t>
      </w:r>
      <w:proofErr w:type="spellEnd"/>
      <w:r w:rsidR="00C856BF">
        <w:rPr>
          <w:rFonts w:cstheme="minorHAnsi"/>
        </w:rPr>
        <w:t xml:space="preserve"> acknowledged</w:t>
      </w:r>
      <w:r w:rsidRPr="004B2F56">
        <w:rPr>
          <w:rFonts w:cstheme="minorHAnsi"/>
        </w:rPr>
        <w:t>.</w:t>
      </w:r>
      <w:r w:rsidR="0039234F">
        <w:rPr>
          <w:rFonts w:cstheme="minorHAnsi"/>
        </w:rPr>
        <w:t xml:space="preserve"> Group Hospitalization and Medical Services, Inc. Post-Hearing Brief, </w:t>
      </w:r>
      <w:r w:rsidR="0039234F">
        <w:rPr>
          <w:rFonts w:cstheme="minorHAnsi"/>
          <w:i/>
        </w:rPr>
        <w:t>In re</w:t>
      </w:r>
      <w:r w:rsidR="0039234F" w:rsidRPr="004B2F56">
        <w:rPr>
          <w:rFonts w:cstheme="minorHAnsi"/>
          <w:i/>
        </w:rPr>
        <w:t xml:space="preserve"> Surplus Review &amp; Determination for Group </w:t>
      </w:r>
      <w:r w:rsidR="0039234F">
        <w:rPr>
          <w:rFonts w:cstheme="minorHAnsi"/>
          <w:i/>
        </w:rPr>
        <w:t>Hospitalization and Medical Services</w:t>
      </w:r>
      <w:r w:rsidR="0039234F" w:rsidRPr="004B2F56">
        <w:rPr>
          <w:rFonts w:cstheme="minorHAnsi"/>
          <w:i/>
        </w:rPr>
        <w:t>., Inc.</w:t>
      </w:r>
      <w:r w:rsidR="0039234F" w:rsidRPr="004B2F56">
        <w:rPr>
          <w:rFonts w:cstheme="minorHAnsi"/>
        </w:rPr>
        <w:t xml:space="preserve"> (Dep’t of Ins., Sec. &amp; B</w:t>
      </w:r>
      <w:r w:rsidR="0039234F">
        <w:rPr>
          <w:rFonts w:cstheme="minorHAnsi"/>
        </w:rPr>
        <w:t>anking, Nov. 7</w:t>
      </w:r>
      <w:r w:rsidR="0039234F" w:rsidRPr="004B2F56">
        <w:rPr>
          <w:rFonts w:cstheme="minorHAnsi"/>
        </w:rPr>
        <w:t>, 201</w:t>
      </w:r>
      <w:r w:rsidR="0039234F">
        <w:rPr>
          <w:rFonts w:cstheme="minorHAnsi"/>
        </w:rPr>
        <w:t>4</w:t>
      </w:r>
      <w:r w:rsidR="0039234F" w:rsidRPr="004B2F56">
        <w:rPr>
          <w:rFonts w:cstheme="minorHAnsi"/>
        </w:rPr>
        <w:t>)</w:t>
      </w:r>
      <w:r w:rsidR="0039234F">
        <w:rPr>
          <w:rFonts w:cstheme="minorHAnsi"/>
        </w:rPr>
        <w:t>, Exhibit 12, at 16 (</w:t>
      </w:r>
      <w:proofErr w:type="spellStart"/>
      <w:r w:rsidR="0039234F">
        <w:rPr>
          <w:rFonts w:cstheme="minorHAnsi"/>
        </w:rPr>
        <w:t>A1589</w:t>
      </w:r>
      <w:proofErr w:type="spellEnd"/>
      <w:r w:rsidR="0039234F">
        <w:rPr>
          <w:rFonts w:cstheme="minorHAnsi"/>
        </w:rPr>
        <w:t xml:space="preserve">) [hereinafter </w:t>
      </w:r>
      <w:proofErr w:type="spellStart"/>
      <w:r w:rsidR="0039234F">
        <w:rPr>
          <w:rFonts w:cstheme="minorHAnsi"/>
        </w:rPr>
        <w:t>Milliman</w:t>
      </w:r>
      <w:proofErr w:type="spellEnd"/>
      <w:r w:rsidR="0039234F">
        <w:rPr>
          <w:rFonts w:cstheme="minorHAnsi"/>
        </w:rPr>
        <w:t xml:space="preserve"> Rebuttal]</w:t>
      </w:r>
      <w:r w:rsidR="008F3371">
        <w:rPr>
          <w:rFonts w:cstheme="minorHAnsi"/>
        </w:rPr>
        <w:t>.</w:t>
      </w:r>
      <w:r w:rsidR="007D4667">
        <w:rPr>
          <w:rFonts w:cstheme="minorHAnsi"/>
        </w:rPr>
        <w:t xml:space="preserve"> </w:t>
      </w:r>
      <w:r w:rsidR="00C856BF">
        <w:rPr>
          <w:rFonts w:cstheme="minorHAnsi"/>
        </w:rPr>
        <w:t>Thus, m</w:t>
      </w:r>
      <w:r w:rsidRPr="004B2F56">
        <w:rPr>
          <w:rFonts w:cstheme="minorHAnsi"/>
        </w:rPr>
        <w:t>ultiplying the p</w:t>
      </w:r>
      <w:r w:rsidR="00C856BF">
        <w:rPr>
          <w:rFonts w:cstheme="minorHAnsi"/>
        </w:rPr>
        <w:t xml:space="preserve">ercentage </w:t>
      </w:r>
      <w:r w:rsidRPr="004B2F56">
        <w:rPr>
          <w:rFonts w:cstheme="minorHAnsi"/>
        </w:rPr>
        <w:t xml:space="preserve">impact on the equity portfolio by the size of the </w:t>
      </w:r>
      <w:proofErr w:type="spellStart"/>
      <w:r w:rsidRPr="004B2F56">
        <w:rPr>
          <w:rFonts w:cstheme="minorHAnsi"/>
        </w:rPr>
        <w:t>nonFEP</w:t>
      </w:r>
      <w:proofErr w:type="spellEnd"/>
      <w:r w:rsidRPr="004B2F56">
        <w:rPr>
          <w:rFonts w:cstheme="minorHAnsi"/>
        </w:rPr>
        <w:t xml:space="preserve"> premium revenue</w:t>
      </w:r>
      <w:r w:rsidR="007B32B2">
        <w:rPr>
          <w:rFonts w:cstheme="minorHAnsi"/>
        </w:rPr>
        <w:t xml:space="preserve">—as </w:t>
      </w:r>
      <w:proofErr w:type="spellStart"/>
      <w:r w:rsidR="007B32B2">
        <w:rPr>
          <w:rFonts w:cstheme="minorHAnsi"/>
        </w:rPr>
        <w:t>Milliman</w:t>
      </w:r>
      <w:proofErr w:type="spellEnd"/>
      <w:r w:rsidR="007B32B2">
        <w:rPr>
          <w:rFonts w:cstheme="minorHAnsi"/>
        </w:rPr>
        <w:t xml:space="preserve"> did—</w:t>
      </w:r>
      <w:r w:rsidRPr="004B2F56">
        <w:rPr>
          <w:rFonts w:cstheme="minorHAnsi"/>
        </w:rPr>
        <w:t>grossly overstates the impact of that factor by a factor of more than 6 to 1</w:t>
      </w:r>
      <w:r w:rsidR="008D3EDB" w:rsidRPr="004B2F56">
        <w:rPr>
          <w:rFonts w:cstheme="minorHAnsi"/>
        </w:rPr>
        <w:t>.</w:t>
      </w:r>
      <w:r w:rsidR="007D4667">
        <w:rPr>
          <w:rFonts w:cstheme="minorHAnsi"/>
        </w:rPr>
        <w:t xml:space="preserve"> </w:t>
      </w:r>
      <w:proofErr w:type="spellStart"/>
      <w:r w:rsidR="00526031">
        <w:rPr>
          <w:rFonts w:cstheme="minorHAnsi"/>
        </w:rPr>
        <w:t>A1733</w:t>
      </w:r>
      <w:proofErr w:type="spellEnd"/>
      <w:r w:rsidR="00526031">
        <w:rPr>
          <w:rFonts w:cstheme="minorHAnsi"/>
        </w:rPr>
        <w:t>.</w:t>
      </w:r>
      <w:r w:rsidR="00B14007">
        <w:rPr>
          <w:rFonts w:cstheme="minorHAnsi"/>
        </w:rPr>
        <w:t xml:space="preserve"> </w:t>
      </w:r>
      <w:r w:rsidR="008D3EDB" w:rsidRPr="004B2F56">
        <w:rPr>
          <w:rFonts w:cstheme="minorHAnsi"/>
        </w:rPr>
        <w:t>A</w:t>
      </w:r>
      <w:r w:rsidRPr="004B2F56">
        <w:rPr>
          <w:rFonts w:cstheme="minorHAnsi"/>
        </w:rPr>
        <w:t xml:space="preserve">s a result, the </w:t>
      </w:r>
      <w:proofErr w:type="spellStart"/>
      <w:r w:rsidRPr="004B2F56">
        <w:rPr>
          <w:rFonts w:cstheme="minorHAnsi"/>
        </w:rPr>
        <w:t>Milliman</w:t>
      </w:r>
      <w:proofErr w:type="spellEnd"/>
      <w:r w:rsidRPr="004B2F56">
        <w:rPr>
          <w:rFonts w:cstheme="minorHAnsi"/>
        </w:rPr>
        <w:t xml:space="preserve"> model </w:t>
      </w:r>
      <w:r w:rsidR="008D3EDB" w:rsidRPr="004B2F56">
        <w:rPr>
          <w:rFonts w:cstheme="minorHAnsi"/>
        </w:rPr>
        <w:t xml:space="preserve">on which </w:t>
      </w:r>
      <w:r w:rsidRPr="004B2F56">
        <w:rPr>
          <w:rFonts w:cstheme="minorHAnsi"/>
        </w:rPr>
        <w:t xml:space="preserve">the Commissioner </w:t>
      </w:r>
      <w:r w:rsidR="008D3EDB" w:rsidRPr="004B2F56">
        <w:rPr>
          <w:rFonts w:cstheme="minorHAnsi"/>
        </w:rPr>
        <w:t xml:space="preserve">relied </w:t>
      </w:r>
      <w:r w:rsidRPr="004B2F56">
        <w:rPr>
          <w:rFonts w:cstheme="minorHAnsi"/>
        </w:rPr>
        <w:t>overstated the need for surplus to cover that risk to the same extent.</w:t>
      </w:r>
      <w:r w:rsidR="007D4667">
        <w:rPr>
          <w:rFonts w:cstheme="minorHAnsi"/>
        </w:rPr>
        <w:t xml:space="preserve"> </w:t>
      </w:r>
    </w:p>
    <w:p w:rsidR="00EF5A4F" w:rsidRPr="004B2F56" w:rsidRDefault="00E5313D" w:rsidP="00FE3CE0">
      <w:pPr>
        <w:spacing w:after="240"/>
        <w:ind w:firstLine="720"/>
        <w:jc w:val="both"/>
        <w:rPr>
          <w:rFonts w:cstheme="minorHAnsi"/>
        </w:rPr>
      </w:pPr>
      <w:proofErr w:type="spellStart"/>
      <w:r w:rsidRPr="004B2F56">
        <w:rPr>
          <w:rFonts w:cstheme="minorHAnsi"/>
        </w:rPr>
        <w:t>GHMSI</w:t>
      </w:r>
      <w:proofErr w:type="spellEnd"/>
      <w:r w:rsidRPr="004B2F56">
        <w:rPr>
          <w:rFonts w:cstheme="minorHAnsi"/>
        </w:rPr>
        <w:t xml:space="preserve"> initially denied that there was any mistake and then later argued that any mistake was insignificant.</w:t>
      </w:r>
      <w:r w:rsidR="00EF5A4F" w:rsidRPr="004B2F56">
        <w:rPr>
          <w:rStyle w:val="FootnoteReference"/>
          <w:rFonts w:cstheme="minorHAnsi"/>
        </w:rPr>
        <w:footnoteReference w:id="7"/>
      </w:r>
      <w:r w:rsidR="007D4667">
        <w:rPr>
          <w:rFonts w:cstheme="minorHAnsi"/>
        </w:rPr>
        <w:t xml:space="preserve"> </w:t>
      </w:r>
      <w:proofErr w:type="spellStart"/>
      <w:r w:rsidR="00710F4A" w:rsidRPr="004B2F56">
        <w:rPr>
          <w:rFonts w:cstheme="minorHAnsi"/>
        </w:rPr>
        <w:t>GHMSI’s</w:t>
      </w:r>
      <w:proofErr w:type="spellEnd"/>
      <w:r w:rsidR="00710F4A" w:rsidRPr="004B2F56">
        <w:rPr>
          <w:rFonts w:cstheme="minorHAnsi"/>
        </w:rPr>
        <w:t xml:space="preserve"> counsel</w:t>
      </w:r>
      <w:r w:rsidRPr="004B2F56">
        <w:rPr>
          <w:rFonts w:cstheme="minorHAnsi"/>
        </w:rPr>
        <w:t xml:space="preserve"> </w:t>
      </w:r>
      <w:r w:rsidR="00710F4A" w:rsidRPr="004B2F56">
        <w:rPr>
          <w:rFonts w:cstheme="minorHAnsi"/>
        </w:rPr>
        <w:t xml:space="preserve">argued to </w:t>
      </w:r>
      <w:r w:rsidR="008D3EDB" w:rsidRPr="004B2F56">
        <w:rPr>
          <w:rFonts w:cstheme="minorHAnsi"/>
        </w:rPr>
        <w:t>the</w:t>
      </w:r>
      <w:r w:rsidR="004B2F56">
        <w:rPr>
          <w:rFonts w:cstheme="minorHAnsi"/>
        </w:rPr>
        <w:t xml:space="preserve"> </w:t>
      </w:r>
      <w:r w:rsidRPr="004B2F56">
        <w:rPr>
          <w:rFonts w:cstheme="minorHAnsi"/>
        </w:rPr>
        <w:t xml:space="preserve">Court of Appeals </w:t>
      </w:r>
      <w:r w:rsidR="00710F4A" w:rsidRPr="004B2F56">
        <w:rPr>
          <w:rFonts w:cstheme="minorHAnsi"/>
        </w:rPr>
        <w:t xml:space="preserve">that the expression of the shortfall as a percentage of </w:t>
      </w:r>
      <w:proofErr w:type="spellStart"/>
      <w:r w:rsidR="00710F4A" w:rsidRPr="004B2F56">
        <w:rPr>
          <w:rFonts w:cstheme="minorHAnsi"/>
        </w:rPr>
        <w:t>nonFEP</w:t>
      </w:r>
      <w:proofErr w:type="spellEnd"/>
      <w:r w:rsidR="00710F4A" w:rsidRPr="004B2F56">
        <w:rPr>
          <w:rFonts w:cstheme="minorHAnsi"/>
        </w:rPr>
        <w:t xml:space="preserve"> revenue was no more significant than expressing the amount of a recipe ingredient in cups versus teaspoons.</w:t>
      </w:r>
      <w:r w:rsidR="007679BF">
        <w:rPr>
          <w:rStyle w:val="FootnoteReference"/>
          <w:rFonts w:cstheme="minorHAnsi"/>
        </w:rPr>
        <w:footnoteReference w:id="8"/>
      </w:r>
      <w:r w:rsidR="00710F4A" w:rsidRPr="004B2F56">
        <w:rPr>
          <w:rFonts w:cstheme="minorHAnsi"/>
        </w:rPr>
        <w:t xml:space="preserve"> Th</w:t>
      </w:r>
      <w:r w:rsidR="008D3EDB" w:rsidRPr="004B2F56">
        <w:rPr>
          <w:rFonts w:cstheme="minorHAnsi"/>
        </w:rPr>
        <w:t>at</w:t>
      </w:r>
      <w:r w:rsidR="00710F4A" w:rsidRPr="004B2F56">
        <w:rPr>
          <w:rFonts w:cstheme="minorHAnsi"/>
        </w:rPr>
        <w:t xml:space="preserve"> is colorful</w:t>
      </w:r>
      <w:r w:rsidR="008D3EDB" w:rsidRPr="004B2F56">
        <w:rPr>
          <w:rFonts w:cstheme="minorHAnsi"/>
        </w:rPr>
        <w:t xml:space="preserve"> language</w:t>
      </w:r>
      <w:r w:rsidR="00710F4A" w:rsidRPr="004B2F56">
        <w:rPr>
          <w:rFonts w:cstheme="minorHAnsi"/>
        </w:rPr>
        <w:t>, but as the calculations</w:t>
      </w:r>
      <w:r w:rsidR="00731B95">
        <w:rPr>
          <w:rFonts w:cstheme="minorHAnsi"/>
        </w:rPr>
        <w:t xml:space="preserve"> </w:t>
      </w:r>
      <w:r w:rsidR="00C856BF">
        <w:rPr>
          <w:rFonts w:cstheme="minorHAnsi"/>
        </w:rPr>
        <w:t>show</w:t>
      </w:r>
      <w:r w:rsidR="00710F4A" w:rsidRPr="004B2F56">
        <w:rPr>
          <w:rFonts w:cstheme="minorHAnsi"/>
        </w:rPr>
        <w:t>, flat</w:t>
      </w:r>
      <w:r w:rsidR="008D3EDB" w:rsidRPr="004B2F56">
        <w:rPr>
          <w:rFonts w:cstheme="minorHAnsi"/>
        </w:rPr>
        <w:t>ly</w:t>
      </w:r>
      <w:r w:rsidR="00710F4A" w:rsidRPr="004B2F56">
        <w:rPr>
          <w:rFonts w:cstheme="minorHAnsi"/>
        </w:rPr>
        <w:t xml:space="preserve"> </w:t>
      </w:r>
      <w:r w:rsidR="00B14007">
        <w:rPr>
          <w:rFonts w:cstheme="minorHAnsi"/>
        </w:rPr>
        <w:t>wrong.</w:t>
      </w:r>
      <w:r w:rsidR="00F02EC6">
        <w:rPr>
          <w:rFonts w:cstheme="minorHAnsi"/>
        </w:rPr>
        <w:t xml:space="preserve"> Measuring in cups or in teaspoons would be consequential indeed if the recipe </w:t>
      </w:r>
      <w:r w:rsidR="00D84954">
        <w:rPr>
          <w:rFonts w:cstheme="minorHAnsi"/>
        </w:rPr>
        <w:t>did</w:t>
      </w:r>
      <w:r w:rsidR="00F02EC6">
        <w:rPr>
          <w:rFonts w:cstheme="minorHAnsi"/>
        </w:rPr>
        <w:t xml:space="preserve"> </w:t>
      </w:r>
      <w:r w:rsidR="00824421">
        <w:rPr>
          <w:rFonts w:cstheme="minorHAnsi"/>
        </w:rPr>
        <w:t xml:space="preserve">not </w:t>
      </w:r>
      <w:r w:rsidR="00F02EC6">
        <w:rPr>
          <w:rFonts w:cstheme="minorHAnsi"/>
        </w:rPr>
        <w:t>account for the large difference between the two</w:t>
      </w:r>
      <w:r w:rsidR="00824421">
        <w:rPr>
          <w:rFonts w:cstheme="minorHAnsi"/>
        </w:rPr>
        <w:t xml:space="preserve">, and </w:t>
      </w:r>
      <w:r w:rsidR="00DC6D28">
        <w:rPr>
          <w:rFonts w:cstheme="minorHAnsi"/>
        </w:rPr>
        <w:t>it was not accounted for here.</w:t>
      </w:r>
    </w:p>
    <w:p w:rsidR="00EF5A4F" w:rsidRPr="004B2F56" w:rsidRDefault="00EF5A4F" w:rsidP="00FE3CE0">
      <w:pPr>
        <w:spacing w:after="240"/>
        <w:ind w:firstLine="720"/>
        <w:jc w:val="both"/>
        <w:rPr>
          <w:rFonts w:cstheme="minorHAnsi"/>
        </w:rPr>
      </w:pPr>
      <w:r w:rsidRPr="004B2F56">
        <w:rPr>
          <w:rFonts w:cstheme="minorHAnsi"/>
        </w:rPr>
        <w:t xml:space="preserve">To correct </w:t>
      </w:r>
      <w:r w:rsidR="00F02EC6">
        <w:rPr>
          <w:rFonts w:cstheme="minorHAnsi"/>
        </w:rPr>
        <w:t>the</w:t>
      </w:r>
      <w:r w:rsidR="00F02EC6" w:rsidRPr="004B2F56">
        <w:rPr>
          <w:rFonts w:cstheme="minorHAnsi"/>
        </w:rPr>
        <w:t xml:space="preserve"> </w:t>
      </w:r>
      <w:r w:rsidRPr="004B2F56">
        <w:rPr>
          <w:rFonts w:cstheme="minorHAnsi"/>
        </w:rPr>
        <w:t xml:space="preserve">error, Appleseed’s actuarial expert adopted </w:t>
      </w:r>
      <w:proofErr w:type="spellStart"/>
      <w:r w:rsidRPr="004B2F56">
        <w:rPr>
          <w:rFonts w:cstheme="minorHAnsi"/>
        </w:rPr>
        <w:t>Milliman’s</w:t>
      </w:r>
      <w:proofErr w:type="spellEnd"/>
      <w:r w:rsidRPr="004B2F56">
        <w:rPr>
          <w:rFonts w:cstheme="minorHAnsi"/>
        </w:rPr>
        <w:t xml:space="preserve"> probability distribution for equities as closely as possible, but adjusted its percentage deviations to account for the 6-to-1 mismatch between the value of equities and the size of </w:t>
      </w:r>
      <w:proofErr w:type="spellStart"/>
      <w:r w:rsidRPr="004B2F56">
        <w:rPr>
          <w:rFonts w:cstheme="minorHAnsi"/>
        </w:rPr>
        <w:t>nonFEP</w:t>
      </w:r>
      <w:proofErr w:type="spellEnd"/>
      <w:r w:rsidRPr="004B2F56">
        <w:rPr>
          <w:rFonts w:cstheme="minorHAnsi"/>
        </w:rPr>
        <w:t xml:space="preserve"> premium revenue</w:t>
      </w:r>
      <w:r w:rsidR="001D2CCA" w:rsidRPr="004B2F56">
        <w:rPr>
          <w:rFonts w:cstheme="minorHAnsi"/>
        </w:rPr>
        <w:t xml:space="preserve">. </w:t>
      </w:r>
      <w:r w:rsidR="002E7C91" w:rsidRPr="004B2F56">
        <w:rPr>
          <w:rFonts w:cstheme="minorHAnsi"/>
        </w:rPr>
        <w:t xml:space="preserve">D.C. Appleseed’s Motion for Reconsideration, </w:t>
      </w:r>
      <w:r w:rsidR="002E7C91" w:rsidRPr="004B2F56">
        <w:rPr>
          <w:rFonts w:cstheme="minorHAnsi"/>
          <w:i/>
        </w:rPr>
        <w:t xml:space="preserve">In re Surplus Review &amp; Determination for Group </w:t>
      </w:r>
      <w:r w:rsidR="00811AFB">
        <w:rPr>
          <w:rFonts w:cstheme="minorHAnsi"/>
          <w:i/>
        </w:rPr>
        <w:t>Hospitalization and Medical Services</w:t>
      </w:r>
      <w:r w:rsidR="002E7C91" w:rsidRPr="004B2F56">
        <w:rPr>
          <w:rFonts w:cstheme="minorHAnsi"/>
          <w:i/>
        </w:rPr>
        <w:t>., Inc.</w:t>
      </w:r>
      <w:r w:rsidR="00AA1058" w:rsidRPr="004B2F56">
        <w:rPr>
          <w:rFonts w:cstheme="minorHAnsi"/>
        </w:rPr>
        <w:t xml:space="preserve"> (Dep’t of Ins., Sec. &amp; Banking, Jan. 9, 2015) app. Mark Shaw Statement at 10 [hereinafter Shaw Statement]</w:t>
      </w:r>
      <w:r w:rsidRPr="004B2F56">
        <w:rPr>
          <w:rFonts w:cstheme="minorHAnsi"/>
        </w:rPr>
        <w:t>. Re-running the model to account for downside risk to the projected equity return, which was calculated to be 7% per year</w:t>
      </w:r>
      <w:r w:rsidR="00EB6B93">
        <w:rPr>
          <w:rFonts w:cstheme="minorHAnsi"/>
        </w:rPr>
        <w:t>,</w:t>
      </w:r>
      <w:r w:rsidRPr="004B2F56">
        <w:rPr>
          <w:rFonts w:cstheme="minorHAnsi"/>
        </w:rPr>
        <w:t xml:space="preserve"> produces a much smaller need for additional surplus</w:t>
      </w:r>
      <w:r w:rsidR="00EB6B93">
        <w:rPr>
          <w:rFonts w:cstheme="minorHAnsi"/>
        </w:rPr>
        <w:t xml:space="preserve"> and in turn </w:t>
      </w:r>
      <w:r w:rsidRPr="004B2F56">
        <w:rPr>
          <w:rFonts w:cstheme="minorHAnsi"/>
        </w:rPr>
        <w:t>reduc</w:t>
      </w:r>
      <w:r w:rsidR="00EB6B93">
        <w:rPr>
          <w:rFonts w:cstheme="minorHAnsi"/>
        </w:rPr>
        <w:t>es</w:t>
      </w:r>
      <w:r w:rsidRPr="004B2F56">
        <w:rPr>
          <w:rFonts w:cstheme="minorHAnsi"/>
        </w:rPr>
        <w:t xml:space="preserve"> the needed RBC ratio from the </w:t>
      </w:r>
      <w:r w:rsidRPr="004B2F56">
        <w:rPr>
          <w:rFonts w:cstheme="minorHAnsi"/>
        </w:rPr>
        <w:lastRenderedPageBreak/>
        <w:t>Commissioner’s 721% figure to 615% RBC</w:t>
      </w:r>
      <w:r w:rsidR="00AA1058" w:rsidRPr="004B2F56">
        <w:rPr>
          <w:rFonts w:cstheme="minorHAnsi"/>
        </w:rPr>
        <w:t>.</w:t>
      </w:r>
      <w:r w:rsidRPr="004B2F56">
        <w:rPr>
          <w:rFonts w:cstheme="minorHAnsi"/>
        </w:rPr>
        <w:t xml:space="preserve"> Shaw Statement</w:t>
      </w:r>
      <w:r w:rsidR="00AA1058" w:rsidRPr="004B2F56">
        <w:rPr>
          <w:rFonts w:cstheme="minorHAnsi"/>
        </w:rPr>
        <w:t xml:space="preserve"> at 12</w:t>
      </w:r>
      <w:r w:rsidRPr="004B2F56">
        <w:rPr>
          <w:rFonts w:cstheme="minorHAnsi"/>
        </w:rPr>
        <w:t xml:space="preserve">. This reduction in surplus need in turn increases </w:t>
      </w:r>
      <w:proofErr w:type="spellStart"/>
      <w:r w:rsidRPr="004B2F56">
        <w:rPr>
          <w:rFonts w:cstheme="minorHAnsi"/>
        </w:rPr>
        <w:t>GHMSI’s</w:t>
      </w:r>
      <w:proofErr w:type="spellEnd"/>
      <w:r w:rsidRPr="004B2F56">
        <w:rPr>
          <w:rFonts w:cstheme="minorHAnsi"/>
        </w:rPr>
        <w:t xml:space="preserve"> </w:t>
      </w:r>
      <w:r w:rsidRPr="004B2F56">
        <w:rPr>
          <w:rFonts w:cstheme="minorHAnsi"/>
          <w:i/>
        </w:rPr>
        <w:t>excess</w:t>
      </w:r>
      <w:r w:rsidRPr="004B2F56">
        <w:rPr>
          <w:rFonts w:cstheme="minorHAnsi"/>
        </w:rPr>
        <w:t xml:space="preserve"> surplus by a further $102.3 million.</w:t>
      </w:r>
      <w:r w:rsidR="007D4667">
        <w:rPr>
          <w:rFonts w:cstheme="minorHAnsi"/>
        </w:rPr>
        <w:t xml:space="preserve"> </w:t>
      </w:r>
      <w:r w:rsidRPr="004B2F56">
        <w:rPr>
          <w:rFonts w:cstheme="minorHAnsi"/>
        </w:rPr>
        <w:t>Adding this to the excess surplus found by the Commissioner increases the excess surplus from $267.6 million to $369.9 million.</w:t>
      </w:r>
    </w:p>
    <w:p w:rsidR="009C2330" w:rsidRPr="004B2F56" w:rsidRDefault="009C2330" w:rsidP="00B14007">
      <w:pPr>
        <w:pStyle w:val="Heading4"/>
        <w:keepNext/>
        <w:ind w:hanging="720"/>
      </w:pPr>
      <w:r w:rsidRPr="004B2F56">
        <w:t>The Further Adjustment Needed to Correct for the Understated Projected Return to Equities</w:t>
      </w:r>
    </w:p>
    <w:p w:rsidR="009C2330" w:rsidRPr="004B2F56" w:rsidRDefault="009D1DE5" w:rsidP="009C2330">
      <w:pPr>
        <w:spacing w:after="240"/>
        <w:ind w:firstLine="720"/>
        <w:jc w:val="both"/>
        <w:rPr>
          <w:rFonts w:cstheme="minorHAnsi"/>
        </w:rPr>
      </w:pPr>
      <w:r>
        <w:rPr>
          <w:rFonts w:cstheme="minorHAnsi"/>
        </w:rPr>
        <w:t xml:space="preserve">In addition to overstating the projected loss to the equities comprising a portion of </w:t>
      </w:r>
      <w:proofErr w:type="spellStart"/>
      <w:r>
        <w:rPr>
          <w:rFonts w:cstheme="minorHAnsi"/>
        </w:rPr>
        <w:t>GHMSI’s</w:t>
      </w:r>
      <w:proofErr w:type="spellEnd"/>
      <w:r>
        <w:rPr>
          <w:rFonts w:cstheme="minorHAnsi"/>
        </w:rPr>
        <w:t xml:space="preserve"> holdings, </w:t>
      </w:r>
      <w:proofErr w:type="spellStart"/>
      <w:r>
        <w:rPr>
          <w:rFonts w:cstheme="minorHAnsi"/>
        </w:rPr>
        <w:t>Milliman</w:t>
      </w:r>
      <w:proofErr w:type="spellEnd"/>
      <w:r>
        <w:rPr>
          <w:rFonts w:cstheme="minorHAnsi"/>
        </w:rPr>
        <w:t xml:space="preserve"> understated the projected return to th</w:t>
      </w:r>
      <w:r w:rsidR="000527FE">
        <w:rPr>
          <w:rFonts w:cstheme="minorHAnsi"/>
        </w:rPr>
        <w:t xml:space="preserve">e entire investment portfolio. </w:t>
      </w:r>
      <w:r w:rsidR="009C2330" w:rsidRPr="004B2F56">
        <w:rPr>
          <w:rFonts w:cstheme="minorHAnsi"/>
        </w:rPr>
        <w:t xml:space="preserve">One further adjustment needs to be made to </w:t>
      </w:r>
      <w:r>
        <w:rPr>
          <w:rFonts w:cstheme="minorHAnsi"/>
        </w:rPr>
        <w:t xml:space="preserve">correct this error. </w:t>
      </w:r>
      <w:proofErr w:type="spellStart"/>
      <w:r w:rsidR="009C2330" w:rsidRPr="004B2F56">
        <w:rPr>
          <w:rFonts w:cstheme="minorHAnsi"/>
        </w:rPr>
        <w:t>Milliman</w:t>
      </w:r>
      <w:proofErr w:type="spellEnd"/>
      <w:r w:rsidR="009C2330" w:rsidRPr="004B2F56">
        <w:rPr>
          <w:rFonts w:cstheme="minorHAnsi"/>
        </w:rPr>
        <w:t xml:space="preserve"> projected that the total return to </w:t>
      </w:r>
      <w:proofErr w:type="spellStart"/>
      <w:r w:rsidR="009C2330" w:rsidRPr="004B2F56">
        <w:rPr>
          <w:rFonts w:cstheme="minorHAnsi"/>
        </w:rPr>
        <w:t>GHMSI’s</w:t>
      </w:r>
      <w:proofErr w:type="spellEnd"/>
      <w:r w:rsidR="009C2330" w:rsidRPr="004B2F56">
        <w:rPr>
          <w:rFonts w:cstheme="minorHAnsi"/>
        </w:rPr>
        <w:t xml:space="preserve"> investment portfolio for the 2012-2014 period would be 3.75%, and then used its model to estimate the downside risk to this projected return. But the record shows that </w:t>
      </w:r>
      <w:proofErr w:type="spellStart"/>
      <w:r w:rsidR="009C2330" w:rsidRPr="004B2F56">
        <w:rPr>
          <w:rFonts w:cstheme="minorHAnsi"/>
        </w:rPr>
        <w:t>Milliman</w:t>
      </w:r>
      <w:proofErr w:type="spellEnd"/>
      <w:r w:rsidR="009C2330" w:rsidRPr="004B2F56">
        <w:rPr>
          <w:rFonts w:cstheme="minorHAnsi"/>
        </w:rPr>
        <w:t xml:space="preserve"> understated the projected return to the portfolio – and to that same extent, therefore, overstated the needed surplus.</w:t>
      </w:r>
    </w:p>
    <w:p w:rsidR="009C2330" w:rsidRPr="004B2F56" w:rsidRDefault="009C2330" w:rsidP="009C2330">
      <w:pPr>
        <w:spacing w:after="240"/>
        <w:ind w:firstLine="720"/>
        <w:jc w:val="both"/>
        <w:rPr>
          <w:rFonts w:cstheme="minorHAnsi"/>
        </w:rPr>
      </w:pPr>
      <w:proofErr w:type="spellStart"/>
      <w:r w:rsidRPr="004B2F56">
        <w:rPr>
          <w:rFonts w:cstheme="minorHAnsi"/>
        </w:rPr>
        <w:t>Milliman</w:t>
      </w:r>
      <w:proofErr w:type="spellEnd"/>
      <w:r w:rsidRPr="004B2F56">
        <w:rPr>
          <w:rFonts w:cstheme="minorHAnsi"/>
        </w:rPr>
        <w:t xml:space="preserve"> based its expected return to the investment portfolio by assuming that equities would return </w:t>
      </w:r>
      <w:r w:rsidR="00B637C5">
        <w:rPr>
          <w:rFonts w:cstheme="minorHAnsi"/>
        </w:rPr>
        <w:t xml:space="preserve">an average of </w:t>
      </w:r>
      <w:r w:rsidR="00B637C5" w:rsidRPr="004B2F56">
        <w:rPr>
          <w:rFonts w:cstheme="minorHAnsi"/>
        </w:rPr>
        <w:t xml:space="preserve">7% </w:t>
      </w:r>
      <w:r w:rsidR="00B637C5">
        <w:rPr>
          <w:rFonts w:cstheme="minorHAnsi"/>
        </w:rPr>
        <w:t xml:space="preserve">annually for the three-year period </w:t>
      </w:r>
      <w:r w:rsidR="00CE4430">
        <w:rPr>
          <w:rFonts w:cstheme="minorHAnsi"/>
        </w:rPr>
        <w:t xml:space="preserve">from </w:t>
      </w:r>
      <w:r w:rsidR="00B637C5">
        <w:rPr>
          <w:rFonts w:cstheme="minorHAnsi"/>
        </w:rPr>
        <w:t>2012</w:t>
      </w:r>
      <w:r w:rsidR="00CE4430">
        <w:rPr>
          <w:rFonts w:cstheme="minorHAnsi"/>
        </w:rPr>
        <w:t xml:space="preserve"> to 20</w:t>
      </w:r>
      <w:r w:rsidR="00B637C5">
        <w:rPr>
          <w:rFonts w:cstheme="minorHAnsi"/>
        </w:rPr>
        <w:t>14</w:t>
      </w:r>
      <w:r w:rsidRPr="004B2F56">
        <w:rPr>
          <w:rFonts w:cstheme="minorHAnsi"/>
        </w:rPr>
        <w:t xml:space="preserve"> and </w:t>
      </w:r>
      <w:r w:rsidR="00CE4430">
        <w:rPr>
          <w:rFonts w:cstheme="minorHAnsi"/>
        </w:rPr>
        <w:t xml:space="preserve">that </w:t>
      </w:r>
      <w:proofErr w:type="spellStart"/>
      <w:r w:rsidRPr="004B2F56">
        <w:rPr>
          <w:rFonts w:cstheme="minorHAnsi"/>
        </w:rPr>
        <w:t>GHMSI’s</w:t>
      </w:r>
      <w:proofErr w:type="spellEnd"/>
      <w:r w:rsidRPr="004B2F56">
        <w:rPr>
          <w:rFonts w:cstheme="minorHAnsi"/>
        </w:rPr>
        <w:t xml:space="preserve"> remaining assets would return 3.5%, for a blended total rate of 3.75%. </w:t>
      </w:r>
      <w:proofErr w:type="spellStart"/>
      <w:r w:rsidRPr="004B2F56">
        <w:rPr>
          <w:rFonts w:cstheme="minorHAnsi"/>
        </w:rPr>
        <w:t>Milliman</w:t>
      </w:r>
      <w:proofErr w:type="spellEnd"/>
      <w:r w:rsidRPr="004B2F56">
        <w:rPr>
          <w:rFonts w:cstheme="minorHAnsi"/>
        </w:rPr>
        <w:t xml:space="preserve"> also assumed that equities represented 16% of the portfolio; accordingly, other assets represented 84%. </w:t>
      </w:r>
      <w:proofErr w:type="spellStart"/>
      <w:r w:rsidR="00CC4BC4">
        <w:rPr>
          <w:rFonts w:cstheme="minorHAnsi"/>
        </w:rPr>
        <w:t>Milliman</w:t>
      </w:r>
      <w:proofErr w:type="spellEnd"/>
      <w:r w:rsidR="00CC4BC4">
        <w:rPr>
          <w:rFonts w:cstheme="minorHAnsi"/>
        </w:rPr>
        <w:t xml:space="preserve"> Rebuttal</w:t>
      </w:r>
      <w:r w:rsidR="00CE077C">
        <w:rPr>
          <w:rFonts w:cstheme="minorHAnsi"/>
        </w:rPr>
        <w:t xml:space="preserve"> at 17</w:t>
      </w:r>
      <w:r w:rsidR="008F3371">
        <w:rPr>
          <w:rFonts w:cstheme="minorHAnsi"/>
        </w:rPr>
        <w:t xml:space="preserve"> (</w:t>
      </w:r>
      <w:proofErr w:type="spellStart"/>
      <w:r w:rsidR="008F3371">
        <w:rPr>
          <w:rFonts w:cstheme="minorHAnsi"/>
        </w:rPr>
        <w:t>A1589</w:t>
      </w:r>
      <w:proofErr w:type="spellEnd"/>
      <w:r w:rsidR="008F3371">
        <w:rPr>
          <w:rFonts w:cstheme="minorHAnsi"/>
        </w:rPr>
        <w:t>)</w:t>
      </w:r>
      <w:r w:rsidRPr="004B2F56">
        <w:rPr>
          <w:rFonts w:cstheme="minorHAnsi"/>
        </w:rPr>
        <w:t>.</w:t>
      </w:r>
    </w:p>
    <w:p w:rsidR="009C2330" w:rsidRPr="00582BF0" w:rsidRDefault="009C2330" w:rsidP="009C2330">
      <w:pPr>
        <w:spacing w:after="240"/>
        <w:ind w:firstLine="720"/>
        <w:jc w:val="both"/>
        <w:rPr>
          <w:rFonts w:cstheme="minorHAnsi"/>
          <w:i/>
        </w:rPr>
      </w:pPr>
      <w:r w:rsidRPr="004B2F56">
        <w:rPr>
          <w:rFonts w:cstheme="minorHAnsi"/>
        </w:rPr>
        <w:t xml:space="preserve">But </w:t>
      </w:r>
      <w:proofErr w:type="spellStart"/>
      <w:r w:rsidR="00EB6B93">
        <w:rPr>
          <w:rFonts w:cstheme="minorHAnsi"/>
        </w:rPr>
        <w:t>Milliman’s</w:t>
      </w:r>
      <w:proofErr w:type="spellEnd"/>
      <w:r w:rsidR="00EB6B93">
        <w:rPr>
          <w:rFonts w:cstheme="minorHAnsi"/>
        </w:rPr>
        <w:t xml:space="preserve"> projected return calculation </w:t>
      </w:r>
      <w:r w:rsidR="009D1DE5">
        <w:rPr>
          <w:rFonts w:cstheme="minorHAnsi"/>
        </w:rPr>
        <w:t>across the whole portfolio</w:t>
      </w:r>
      <w:r w:rsidRPr="004B2F56">
        <w:rPr>
          <w:rFonts w:cstheme="minorHAnsi"/>
        </w:rPr>
        <w:t xml:space="preserve"> is incorrect: </w:t>
      </w:r>
      <w:proofErr w:type="spellStart"/>
      <w:r w:rsidRPr="004B2F56">
        <w:rPr>
          <w:rFonts w:cstheme="minorHAnsi"/>
        </w:rPr>
        <w:t>Milliman’s</w:t>
      </w:r>
      <w:proofErr w:type="spellEnd"/>
      <w:r w:rsidRPr="004B2F56">
        <w:rPr>
          <w:rFonts w:cstheme="minorHAnsi"/>
        </w:rPr>
        <w:t xml:space="preserve"> own figures demonstrate</w:t>
      </w:r>
      <w:r w:rsidR="00CE077C">
        <w:rPr>
          <w:rFonts w:cstheme="minorHAnsi"/>
        </w:rPr>
        <w:t xml:space="preserve"> </w:t>
      </w:r>
      <w:r w:rsidRPr="004B2F56">
        <w:rPr>
          <w:rFonts w:cstheme="minorHAnsi"/>
        </w:rPr>
        <w:t>that the projected return to the investment portfolio was 4.06%, not 3.75%. A portfolio that is composed of 16% equities earning 7%, along with 84% other assets earning 3.5%, is earning an expected return of 4.</w:t>
      </w:r>
      <w:r>
        <w:rPr>
          <w:rFonts w:cstheme="minorHAnsi"/>
        </w:rPr>
        <w:t>0</w:t>
      </w:r>
      <w:r w:rsidRPr="004B2F56">
        <w:rPr>
          <w:rFonts w:cstheme="minorHAnsi"/>
        </w:rPr>
        <w:t>6% (</w:t>
      </w:r>
      <w:r>
        <w:rPr>
          <w:rFonts w:cstheme="minorHAnsi"/>
        </w:rPr>
        <w:t>that is, (</w:t>
      </w:r>
      <w:r w:rsidRPr="004B2F56">
        <w:rPr>
          <w:rFonts w:cstheme="minorHAnsi"/>
        </w:rPr>
        <w:t xml:space="preserve">0.16 </w:t>
      </w:r>
      <w:r>
        <w:rPr>
          <w:rFonts w:ascii="Segoe UI Symbol" w:hAnsi="Segoe UI Symbol" w:cstheme="minorHAnsi"/>
        </w:rPr>
        <w:t>✕</w:t>
      </w:r>
      <w:r w:rsidRPr="004B2F56">
        <w:rPr>
          <w:rFonts w:cstheme="minorHAnsi"/>
        </w:rPr>
        <w:t xml:space="preserve"> 7%</w:t>
      </w:r>
      <w:r>
        <w:rPr>
          <w:rFonts w:cstheme="minorHAnsi"/>
        </w:rPr>
        <w:t>)</w:t>
      </w:r>
      <w:r w:rsidRPr="004B2F56">
        <w:rPr>
          <w:rFonts w:cstheme="minorHAnsi"/>
        </w:rPr>
        <w:t xml:space="preserve"> </w:t>
      </w:r>
      <w:r>
        <w:rPr>
          <w:rFonts w:cstheme="minorHAnsi"/>
        </w:rPr>
        <w:t>+ (</w:t>
      </w:r>
      <w:r w:rsidRPr="004B2F56">
        <w:rPr>
          <w:rFonts w:cstheme="minorHAnsi"/>
        </w:rPr>
        <w:t xml:space="preserve">0.84 </w:t>
      </w:r>
      <w:r>
        <w:rPr>
          <w:rFonts w:ascii="Segoe UI Symbol" w:hAnsi="Segoe UI Symbol" w:cstheme="minorHAnsi"/>
        </w:rPr>
        <w:t>✕</w:t>
      </w:r>
      <w:r w:rsidRPr="004B2F56">
        <w:rPr>
          <w:rFonts w:cstheme="minorHAnsi"/>
        </w:rPr>
        <w:t xml:space="preserve"> 3.5%</w:t>
      </w:r>
      <w:r>
        <w:rPr>
          <w:rFonts w:cstheme="minorHAnsi"/>
        </w:rPr>
        <w:t>)</w:t>
      </w:r>
      <w:r w:rsidRPr="004B2F56">
        <w:rPr>
          <w:rFonts w:cstheme="minorHAnsi"/>
        </w:rPr>
        <w:t xml:space="preserve"> </w:t>
      </w:r>
      <w:r>
        <w:rPr>
          <w:rFonts w:cstheme="minorHAnsi"/>
        </w:rPr>
        <w:t>=</w:t>
      </w:r>
      <w:r w:rsidRPr="004B2F56">
        <w:rPr>
          <w:rFonts w:cstheme="minorHAnsi"/>
        </w:rPr>
        <w:t xml:space="preserve"> 4.</w:t>
      </w:r>
      <w:r>
        <w:rPr>
          <w:rFonts w:cstheme="minorHAnsi"/>
        </w:rPr>
        <w:t>0</w:t>
      </w:r>
      <w:r w:rsidRPr="004B2F56">
        <w:rPr>
          <w:rFonts w:cstheme="minorHAnsi"/>
        </w:rPr>
        <w:t xml:space="preserve">6%). </w:t>
      </w:r>
      <w:r>
        <w:rPr>
          <w:rFonts w:cstheme="minorHAnsi"/>
        </w:rPr>
        <w:t>Shaw Statement at 10</w:t>
      </w:r>
      <w:r w:rsidRPr="004B2F56">
        <w:rPr>
          <w:rFonts w:cstheme="minorHAnsi"/>
        </w:rPr>
        <w:t>. Applied to a portfolio of $1.23 billion at year-end 2011, earning 4.</w:t>
      </w:r>
      <w:r>
        <w:rPr>
          <w:rFonts w:cstheme="minorHAnsi"/>
        </w:rPr>
        <w:t>1</w:t>
      </w:r>
      <w:r w:rsidRPr="004B2F56">
        <w:rPr>
          <w:rFonts w:cstheme="minorHAnsi"/>
        </w:rPr>
        <w:t xml:space="preserve">6% rather than 3.75% means that </w:t>
      </w:r>
      <w:proofErr w:type="spellStart"/>
      <w:r w:rsidRPr="004B2F56">
        <w:rPr>
          <w:rFonts w:cstheme="minorHAnsi"/>
        </w:rPr>
        <w:t>GHMSI</w:t>
      </w:r>
      <w:proofErr w:type="spellEnd"/>
      <w:r w:rsidRPr="004B2F56">
        <w:rPr>
          <w:rFonts w:cstheme="minorHAnsi"/>
        </w:rPr>
        <w:t xml:space="preserve"> would earn $3.8 million per year more than </w:t>
      </w:r>
      <w:proofErr w:type="spellStart"/>
      <w:r w:rsidRPr="004B2F56">
        <w:rPr>
          <w:rFonts w:cstheme="minorHAnsi"/>
        </w:rPr>
        <w:t>Milliman</w:t>
      </w:r>
      <w:proofErr w:type="spellEnd"/>
      <w:r w:rsidRPr="004B2F56">
        <w:rPr>
          <w:rFonts w:cstheme="minorHAnsi"/>
        </w:rPr>
        <w:t xml:space="preserve"> assumed – resulting in “a total investment return understatement of $11.4 million due only to </w:t>
      </w:r>
      <w:proofErr w:type="spellStart"/>
      <w:r w:rsidRPr="004B2F56">
        <w:rPr>
          <w:rFonts w:cstheme="minorHAnsi"/>
        </w:rPr>
        <w:t>Milliman’s</w:t>
      </w:r>
      <w:proofErr w:type="spellEnd"/>
      <w:r w:rsidRPr="004B2F56">
        <w:rPr>
          <w:rFonts w:cstheme="minorHAnsi"/>
        </w:rPr>
        <w:t xml:space="preserve"> own arithmet</w:t>
      </w:r>
      <w:r>
        <w:rPr>
          <w:rFonts w:cstheme="minorHAnsi"/>
        </w:rPr>
        <w:t xml:space="preserve">ic error.” </w:t>
      </w:r>
      <w:r>
        <w:rPr>
          <w:rFonts w:cstheme="minorHAnsi"/>
          <w:i/>
        </w:rPr>
        <w:t>Id.</w:t>
      </w:r>
    </w:p>
    <w:p w:rsidR="009C2330" w:rsidRPr="004B2F56" w:rsidRDefault="009C2330" w:rsidP="009C2330">
      <w:pPr>
        <w:spacing w:after="240"/>
        <w:ind w:firstLine="720"/>
        <w:jc w:val="both"/>
        <w:rPr>
          <w:rFonts w:cstheme="minorHAnsi"/>
        </w:rPr>
      </w:pPr>
      <w:r w:rsidRPr="004B2F56">
        <w:rPr>
          <w:rFonts w:cstheme="minorHAnsi"/>
        </w:rPr>
        <w:t xml:space="preserve">Thus, permissible surplus at the end of 2011 was a further $11.4 million lower than the Commissioner projected, and </w:t>
      </w:r>
      <w:proofErr w:type="spellStart"/>
      <w:r w:rsidRPr="004B2F56">
        <w:rPr>
          <w:rFonts w:cstheme="minorHAnsi"/>
        </w:rPr>
        <w:t>GHMSI’s</w:t>
      </w:r>
      <w:proofErr w:type="spellEnd"/>
      <w:r w:rsidRPr="004B2F56">
        <w:rPr>
          <w:rFonts w:cstheme="minorHAnsi"/>
        </w:rPr>
        <w:t xml:space="preserve"> excess surplus was accordingly higher by that same $11.4 million. This $11.4 million error, when added to the more significant error produced by the overstatement of equity risk due to the misuse of the probability distribution in the statistical model, increases </w:t>
      </w:r>
      <w:proofErr w:type="spellStart"/>
      <w:r w:rsidRPr="004B2F56">
        <w:rPr>
          <w:rFonts w:cstheme="minorHAnsi"/>
        </w:rPr>
        <w:t>GHMSI’s</w:t>
      </w:r>
      <w:proofErr w:type="spellEnd"/>
      <w:r w:rsidRPr="004B2F56">
        <w:rPr>
          <w:rFonts w:cstheme="minorHAnsi"/>
        </w:rPr>
        <w:t xml:space="preserve"> total excess surplus from $369.9 million to $381.3 million.</w:t>
      </w:r>
    </w:p>
    <w:p w:rsidR="005062F9" w:rsidRPr="004B2F56" w:rsidRDefault="005062F9" w:rsidP="00B14007">
      <w:pPr>
        <w:pStyle w:val="Heading4"/>
        <w:keepNext/>
        <w:ind w:hanging="720"/>
      </w:pPr>
      <w:r w:rsidRPr="004B2F56">
        <w:t xml:space="preserve"> </w:t>
      </w:r>
      <w:r w:rsidR="00DF2476" w:rsidRPr="004B2F56">
        <w:t xml:space="preserve">The </w:t>
      </w:r>
      <w:r w:rsidR="00686C0F" w:rsidRPr="004B2F56">
        <w:t xml:space="preserve">Foundational </w:t>
      </w:r>
      <w:r w:rsidR="00DF2476" w:rsidRPr="004B2F56">
        <w:t xml:space="preserve">Error in </w:t>
      </w:r>
      <w:r w:rsidRPr="004B2F56">
        <w:t>the Commissioner’s Approach</w:t>
      </w:r>
    </w:p>
    <w:p w:rsidR="005062F9" w:rsidRPr="004B2F56" w:rsidRDefault="00C12975" w:rsidP="00FE3CE0">
      <w:pPr>
        <w:spacing w:after="240"/>
        <w:ind w:firstLine="720"/>
        <w:jc w:val="both"/>
        <w:rPr>
          <w:rFonts w:cstheme="minorHAnsi"/>
        </w:rPr>
      </w:pPr>
      <w:r w:rsidRPr="004B2F56">
        <w:rPr>
          <w:rFonts w:cstheme="minorHAnsi"/>
        </w:rPr>
        <w:t>The calculation error</w:t>
      </w:r>
      <w:r w:rsidR="004630E6">
        <w:rPr>
          <w:rFonts w:cstheme="minorHAnsi"/>
        </w:rPr>
        <w:t>s</w:t>
      </w:r>
      <w:r w:rsidRPr="004B2F56">
        <w:rPr>
          <w:rFonts w:cstheme="minorHAnsi"/>
        </w:rPr>
        <w:t xml:space="preserve"> described above compound a foundational error in the </w:t>
      </w:r>
      <w:proofErr w:type="spellStart"/>
      <w:r w:rsidRPr="004B2F56">
        <w:rPr>
          <w:rFonts w:cstheme="minorHAnsi"/>
        </w:rPr>
        <w:t>Milliman</w:t>
      </w:r>
      <w:proofErr w:type="spellEnd"/>
      <w:r w:rsidRPr="004B2F56">
        <w:rPr>
          <w:rFonts w:cstheme="minorHAnsi"/>
        </w:rPr>
        <w:t xml:space="preserve"> analysis </w:t>
      </w:r>
      <w:r w:rsidR="001F2097" w:rsidRPr="004B2F56">
        <w:rPr>
          <w:rFonts w:cstheme="minorHAnsi"/>
        </w:rPr>
        <w:t xml:space="preserve">on which </w:t>
      </w:r>
      <w:r w:rsidRPr="004B2F56">
        <w:rPr>
          <w:rFonts w:cstheme="minorHAnsi"/>
        </w:rPr>
        <w:t>the Commissioner</w:t>
      </w:r>
      <w:r w:rsidR="001F2097" w:rsidRPr="004B2F56">
        <w:rPr>
          <w:rFonts w:cstheme="minorHAnsi"/>
        </w:rPr>
        <w:t xml:space="preserve"> relied</w:t>
      </w:r>
      <w:r w:rsidRPr="004B2F56">
        <w:rPr>
          <w:rFonts w:cstheme="minorHAnsi"/>
        </w:rPr>
        <w:t>.</w:t>
      </w:r>
      <w:r w:rsidR="007D4667">
        <w:rPr>
          <w:rFonts w:cstheme="minorHAnsi"/>
        </w:rPr>
        <w:t xml:space="preserve"> </w:t>
      </w:r>
      <w:r w:rsidRPr="004B2F56">
        <w:rPr>
          <w:rFonts w:cstheme="minorHAnsi"/>
        </w:rPr>
        <w:t xml:space="preserve">Put simply, </w:t>
      </w:r>
      <w:r w:rsidR="005062F9" w:rsidRPr="004B2F56">
        <w:rPr>
          <w:rFonts w:cstheme="minorHAnsi"/>
        </w:rPr>
        <w:t xml:space="preserve">the methodology employed by the </w:t>
      </w:r>
      <w:r w:rsidR="00D53AFA" w:rsidRPr="004B2F56">
        <w:rPr>
          <w:rFonts w:cstheme="minorHAnsi"/>
        </w:rPr>
        <w:t>Commissioner did not follow his own</w:t>
      </w:r>
      <w:r w:rsidR="007B32B2">
        <w:rPr>
          <w:rFonts w:cstheme="minorHAnsi"/>
        </w:rPr>
        <w:t xml:space="preserve"> regulatory</w:t>
      </w:r>
      <w:r w:rsidR="00D53AFA" w:rsidRPr="004B2F56">
        <w:rPr>
          <w:rFonts w:cstheme="minorHAnsi"/>
        </w:rPr>
        <w:t xml:space="preserve"> standards for assessing th</w:t>
      </w:r>
      <w:r w:rsidR="00686C0F" w:rsidRPr="004B2F56">
        <w:rPr>
          <w:rFonts w:cstheme="minorHAnsi"/>
        </w:rPr>
        <w:t xml:space="preserve">e equity portfolio </w:t>
      </w:r>
      <w:r w:rsidR="00D53AFA" w:rsidRPr="004B2F56">
        <w:rPr>
          <w:rFonts w:cstheme="minorHAnsi"/>
        </w:rPr>
        <w:t xml:space="preserve">risk and </w:t>
      </w:r>
      <w:proofErr w:type="spellStart"/>
      <w:r w:rsidR="00D53AFA" w:rsidRPr="004B2F56">
        <w:rPr>
          <w:rFonts w:cstheme="minorHAnsi"/>
        </w:rPr>
        <w:t>GHMSI’s</w:t>
      </w:r>
      <w:proofErr w:type="spellEnd"/>
      <w:r w:rsidR="00D53AFA" w:rsidRPr="004B2F56">
        <w:rPr>
          <w:rFonts w:cstheme="minorHAnsi"/>
        </w:rPr>
        <w:t xml:space="preserve"> need for surplus. </w:t>
      </w:r>
      <w:r w:rsidR="0064135A" w:rsidRPr="004B2F56">
        <w:rPr>
          <w:rFonts w:cstheme="minorHAnsi"/>
        </w:rPr>
        <w:t>As a result,</w:t>
      </w:r>
      <w:r w:rsidR="00D53AFA" w:rsidRPr="004B2F56">
        <w:rPr>
          <w:rFonts w:cstheme="minorHAnsi"/>
        </w:rPr>
        <w:t xml:space="preserve"> the Commissioner’s methodology significantly overstated </w:t>
      </w:r>
      <w:r w:rsidR="005062F9" w:rsidRPr="004B2F56">
        <w:rPr>
          <w:rFonts w:cstheme="minorHAnsi"/>
        </w:rPr>
        <w:t xml:space="preserve">the downside risk to </w:t>
      </w:r>
      <w:proofErr w:type="spellStart"/>
      <w:r w:rsidR="005062F9" w:rsidRPr="004B2F56">
        <w:rPr>
          <w:rFonts w:cstheme="minorHAnsi"/>
        </w:rPr>
        <w:t>GHMSI’s</w:t>
      </w:r>
      <w:proofErr w:type="spellEnd"/>
      <w:r w:rsidR="005062F9" w:rsidRPr="004B2F56">
        <w:rPr>
          <w:rFonts w:cstheme="minorHAnsi"/>
        </w:rPr>
        <w:t xml:space="preserve"> projected gains on its investment portfolio</w:t>
      </w:r>
      <w:r w:rsidR="009D6C07" w:rsidRPr="004B2F56">
        <w:rPr>
          <w:rFonts w:cstheme="minorHAnsi"/>
        </w:rPr>
        <w:t>,</w:t>
      </w:r>
      <w:r w:rsidR="005062F9" w:rsidRPr="004B2F56">
        <w:rPr>
          <w:rFonts w:cstheme="minorHAnsi"/>
        </w:rPr>
        <w:t xml:space="preserve"> and overstated </w:t>
      </w:r>
      <w:proofErr w:type="spellStart"/>
      <w:r w:rsidR="009D6C07" w:rsidRPr="004B2F56">
        <w:rPr>
          <w:rFonts w:cstheme="minorHAnsi"/>
        </w:rPr>
        <w:t>GHMSI’s</w:t>
      </w:r>
      <w:proofErr w:type="spellEnd"/>
      <w:r w:rsidR="009D6C07" w:rsidRPr="004B2F56">
        <w:rPr>
          <w:rFonts w:cstheme="minorHAnsi"/>
        </w:rPr>
        <w:t xml:space="preserve"> </w:t>
      </w:r>
      <w:r w:rsidR="005062F9" w:rsidRPr="004B2F56">
        <w:rPr>
          <w:rFonts w:cstheme="minorHAnsi"/>
        </w:rPr>
        <w:t>need for surplus</w:t>
      </w:r>
      <w:r w:rsidR="00DA317D" w:rsidRPr="004B2F56">
        <w:rPr>
          <w:rFonts w:cstheme="minorHAnsi"/>
        </w:rPr>
        <w:t>.</w:t>
      </w:r>
    </w:p>
    <w:p w:rsidR="005062F9" w:rsidRPr="004B2F56" w:rsidRDefault="0064135A" w:rsidP="00FE3CE0">
      <w:pPr>
        <w:spacing w:after="240"/>
        <w:ind w:firstLine="720"/>
        <w:jc w:val="both"/>
        <w:rPr>
          <w:rFonts w:cstheme="minorHAnsi"/>
        </w:rPr>
      </w:pPr>
      <w:r w:rsidRPr="004B2F56">
        <w:rPr>
          <w:rFonts w:cstheme="minorHAnsi"/>
          <w:i/>
        </w:rPr>
        <w:lastRenderedPageBreak/>
        <w:t xml:space="preserve">The legal standard under </w:t>
      </w:r>
      <w:proofErr w:type="spellStart"/>
      <w:r w:rsidRPr="004B2F56">
        <w:rPr>
          <w:rFonts w:cstheme="minorHAnsi"/>
          <w:i/>
        </w:rPr>
        <w:t>MIEAA</w:t>
      </w:r>
      <w:proofErr w:type="spellEnd"/>
      <w:r w:rsidRPr="004B2F56">
        <w:rPr>
          <w:rFonts w:cstheme="minorHAnsi"/>
          <w:i/>
        </w:rPr>
        <w:t>.</w:t>
      </w:r>
      <w:r w:rsidRPr="004B2F56">
        <w:rPr>
          <w:rFonts w:cstheme="minorHAnsi"/>
        </w:rPr>
        <w:t xml:space="preserve"> </w:t>
      </w:r>
      <w:r w:rsidR="00D53AFA" w:rsidRPr="004B2F56">
        <w:rPr>
          <w:rFonts w:cstheme="minorHAnsi"/>
        </w:rPr>
        <w:t xml:space="preserve">In </w:t>
      </w:r>
      <w:r w:rsidR="00686C0F" w:rsidRPr="004B2F56">
        <w:rPr>
          <w:rFonts w:cstheme="minorHAnsi"/>
        </w:rPr>
        <w:t xml:space="preserve">the </w:t>
      </w:r>
      <w:r w:rsidR="00D53AFA" w:rsidRPr="004B2F56">
        <w:rPr>
          <w:rFonts w:cstheme="minorHAnsi"/>
        </w:rPr>
        <w:t>December 30, 2014 Decision, t</w:t>
      </w:r>
      <w:r w:rsidR="005062F9" w:rsidRPr="004B2F56">
        <w:rPr>
          <w:rFonts w:cstheme="minorHAnsi"/>
        </w:rPr>
        <w:t xml:space="preserve">he Commissioner </w:t>
      </w:r>
      <w:r w:rsidR="00EC35A6" w:rsidRPr="004B2F56">
        <w:rPr>
          <w:rFonts w:cstheme="minorHAnsi"/>
        </w:rPr>
        <w:t xml:space="preserve">appropriately </w:t>
      </w:r>
      <w:r w:rsidR="005062F9" w:rsidRPr="004B2F56">
        <w:rPr>
          <w:rFonts w:cstheme="minorHAnsi"/>
        </w:rPr>
        <w:t xml:space="preserve">determined that </w:t>
      </w:r>
      <w:proofErr w:type="spellStart"/>
      <w:r w:rsidR="005062F9" w:rsidRPr="004B2F56">
        <w:rPr>
          <w:rFonts w:cstheme="minorHAnsi"/>
        </w:rPr>
        <w:t>MIEAA</w:t>
      </w:r>
      <w:proofErr w:type="spellEnd"/>
      <w:r w:rsidR="005062F9" w:rsidRPr="004B2F56">
        <w:rPr>
          <w:rFonts w:cstheme="minorHAnsi"/>
        </w:rPr>
        <w:t xml:space="preserve"> requires review of </w:t>
      </w:r>
      <w:proofErr w:type="spellStart"/>
      <w:r w:rsidR="005062F9" w:rsidRPr="004B2F56">
        <w:rPr>
          <w:rFonts w:cstheme="minorHAnsi"/>
        </w:rPr>
        <w:t>GHMSI’s</w:t>
      </w:r>
      <w:proofErr w:type="spellEnd"/>
      <w:r w:rsidR="005062F9" w:rsidRPr="004B2F56">
        <w:rPr>
          <w:rFonts w:cstheme="minorHAnsi"/>
        </w:rPr>
        <w:t xml:space="preserve"> permissible surplus based on “reasonable ‘middle-of-the-fairway’ projections</w:t>
      </w:r>
      <w:r w:rsidR="00D53AFA" w:rsidRPr="004B2F56">
        <w:rPr>
          <w:rFonts w:cstheme="minorHAnsi"/>
        </w:rPr>
        <w:t>,</w:t>
      </w:r>
      <w:r w:rsidR="005062F9" w:rsidRPr="004B2F56">
        <w:rPr>
          <w:rFonts w:cstheme="minorHAnsi"/>
        </w:rPr>
        <w:t xml:space="preserve">” </w:t>
      </w:r>
      <w:r w:rsidR="00D53AFA" w:rsidRPr="004B2F56">
        <w:rPr>
          <w:rFonts w:cstheme="minorHAnsi"/>
        </w:rPr>
        <w:t>not</w:t>
      </w:r>
      <w:r w:rsidR="005062F9" w:rsidRPr="004B2F56">
        <w:rPr>
          <w:rFonts w:cstheme="minorHAnsi"/>
        </w:rPr>
        <w:t xml:space="preserve"> “highly attenuated risks,” </w:t>
      </w:r>
      <w:r w:rsidR="00060F34">
        <w:rPr>
          <w:rFonts w:cstheme="minorHAnsi"/>
        </w:rPr>
        <w:t>2014 Decision at 21.</w:t>
      </w:r>
      <w:r w:rsidR="005062F9" w:rsidRPr="004B2F56">
        <w:rPr>
          <w:rFonts w:cstheme="minorHAnsi"/>
        </w:rPr>
        <w:t xml:space="preserve"> </w:t>
      </w:r>
      <w:r w:rsidR="00060F34">
        <w:rPr>
          <w:rFonts w:cstheme="minorHAnsi"/>
        </w:rPr>
        <w:t>F</w:t>
      </w:r>
      <w:r w:rsidR="00D53AFA" w:rsidRPr="004B2F56">
        <w:rPr>
          <w:rFonts w:cstheme="minorHAnsi"/>
        </w:rPr>
        <w:t>urther,</w:t>
      </w:r>
      <w:r w:rsidR="00060F34">
        <w:rPr>
          <w:rFonts w:cstheme="minorHAnsi"/>
        </w:rPr>
        <w:t xml:space="preserve"> the Commissioner </w:t>
      </w:r>
      <w:r w:rsidR="00A71B80">
        <w:rPr>
          <w:rFonts w:cstheme="minorHAnsi"/>
        </w:rPr>
        <w:t>decided</w:t>
      </w:r>
      <w:r w:rsidR="00D53AFA" w:rsidRPr="004B2F56">
        <w:rPr>
          <w:rFonts w:cstheme="minorHAnsi"/>
        </w:rPr>
        <w:t xml:space="preserve"> that the</w:t>
      </w:r>
      <w:r w:rsidRPr="004B2F56">
        <w:rPr>
          <w:rFonts w:cstheme="minorHAnsi"/>
        </w:rPr>
        <w:t xml:space="preserve"> projections</w:t>
      </w:r>
      <w:r w:rsidR="00A71B80">
        <w:rPr>
          <w:rFonts w:cstheme="minorHAnsi"/>
        </w:rPr>
        <w:t xml:space="preserve"> should</w:t>
      </w:r>
      <w:r w:rsidR="00D53AFA" w:rsidRPr="004B2F56">
        <w:rPr>
          <w:rFonts w:cstheme="minorHAnsi"/>
        </w:rPr>
        <w:t xml:space="preserve"> </w:t>
      </w:r>
      <w:r w:rsidR="005062F9" w:rsidRPr="004B2F56">
        <w:rPr>
          <w:rFonts w:cstheme="minorHAnsi"/>
        </w:rPr>
        <w:t xml:space="preserve">be “based on relevant historical experience and reasonable projections for how future experience may deviate from historical experience.” </w:t>
      </w:r>
      <w:r w:rsidR="00A71B80">
        <w:rPr>
          <w:rFonts w:cstheme="minorHAnsi"/>
          <w:i/>
        </w:rPr>
        <w:t>Id.</w:t>
      </w:r>
      <w:r w:rsidR="00A71B80">
        <w:rPr>
          <w:rFonts w:cstheme="minorHAnsi"/>
        </w:rPr>
        <w:t xml:space="preserve"> at 30. </w:t>
      </w:r>
      <w:r w:rsidR="005062F9" w:rsidRPr="004B2F56">
        <w:rPr>
          <w:rFonts w:cstheme="minorHAnsi"/>
        </w:rPr>
        <w:t xml:space="preserve">The </w:t>
      </w:r>
      <w:r w:rsidR="00D0641E" w:rsidRPr="004B2F56">
        <w:rPr>
          <w:rFonts w:cstheme="minorHAnsi"/>
        </w:rPr>
        <w:t>analysis</w:t>
      </w:r>
      <w:r w:rsidR="00D0641E">
        <w:rPr>
          <w:rFonts w:cstheme="minorHAnsi"/>
        </w:rPr>
        <w:t xml:space="preserve"> that the </w:t>
      </w:r>
      <w:r w:rsidR="005062F9" w:rsidRPr="004B2F56">
        <w:rPr>
          <w:rFonts w:cstheme="minorHAnsi"/>
        </w:rPr>
        <w:t xml:space="preserve">Commissioner </w:t>
      </w:r>
      <w:r w:rsidR="00D0641E">
        <w:rPr>
          <w:rFonts w:cstheme="minorHAnsi"/>
        </w:rPr>
        <w:t xml:space="preserve">relied on to assess the risk to </w:t>
      </w:r>
      <w:proofErr w:type="spellStart"/>
      <w:r w:rsidR="00D0641E">
        <w:rPr>
          <w:rFonts w:cstheme="minorHAnsi"/>
        </w:rPr>
        <w:t>GHMSI’s</w:t>
      </w:r>
      <w:proofErr w:type="spellEnd"/>
      <w:r w:rsidR="00D0641E">
        <w:rPr>
          <w:rFonts w:cstheme="minorHAnsi"/>
        </w:rPr>
        <w:t xml:space="preserve"> equity portfolio, however,</w:t>
      </w:r>
      <w:r w:rsidR="00D0641E" w:rsidRPr="004B2F56">
        <w:rPr>
          <w:rFonts w:cstheme="minorHAnsi"/>
        </w:rPr>
        <w:t xml:space="preserve"> </w:t>
      </w:r>
      <w:r w:rsidR="005062F9" w:rsidRPr="004B2F56">
        <w:rPr>
          <w:rFonts w:cstheme="minorHAnsi"/>
        </w:rPr>
        <w:t>did not follow these requirements.</w:t>
      </w:r>
    </w:p>
    <w:p w:rsidR="00C84AC7" w:rsidRPr="004B2F56" w:rsidRDefault="002879D0" w:rsidP="00FE3CE0">
      <w:pPr>
        <w:spacing w:after="240"/>
        <w:ind w:firstLine="720"/>
        <w:jc w:val="both"/>
        <w:rPr>
          <w:rFonts w:cstheme="minorHAnsi"/>
        </w:rPr>
      </w:pPr>
      <w:proofErr w:type="spellStart"/>
      <w:r w:rsidRPr="004B2F56">
        <w:rPr>
          <w:rFonts w:cstheme="minorHAnsi"/>
          <w:i/>
        </w:rPr>
        <w:t>Milliman’s</w:t>
      </w:r>
      <w:proofErr w:type="spellEnd"/>
      <w:r w:rsidRPr="004B2F56">
        <w:rPr>
          <w:rFonts w:cstheme="minorHAnsi"/>
          <w:i/>
        </w:rPr>
        <w:t xml:space="preserve"> projected rate of return</w:t>
      </w:r>
      <w:r w:rsidRPr="004B2F56">
        <w:rPr>
          <w:rFonts w:cstheme="minorHAnsi"/>
        </w:rPr>
        <w:t xml:space="preserve">. </w:t>
      </w:r>
      <w:r w:rsidR="009A0315" w:rsidRPr="004B2F56">
        <w:rPr>
          <w:rFonts w:cstheme="minorHAnsi"/>
        </w:rPr>
        <w:t xml:space="preserve">At the outset, </w:t>
      </w:r>
      <w:proofErr w:type="spellStart"/>
      <w:r w:rsidRPr="004B2F56">
        <w:rPr>
          <w:rFonts w:cstheme="minorHAnsi"/>
        </w:rPr>
        <w:t>GHMSI’s</w:t>
      </w:r>
      <w:proofErr w:type="spellEnd"/>
      <w:r w:rsidRPr="004B2F56">
        <w:rPr>
          <w:rFonts w:cstheme="minorHAnsi"/>
        </w:rPr>
        <w:t xml:space="preserve"> expert, </w:t>
      </w:r>
      <w:proofErr w:type="spellStart"/>
      <w:r w:rsidRPr="004B2F56">
        <w:rPr>
          <w:rFonts w:cstheme="minorHAnsi"/>
        </w:rPr>
        <w:t>Milliman</w:t>
      </w:r>
      <w:proofErr w:type="spellEnd"/>
      <w:r w:rsidRPr="004B2F56">
        <w:rPr>
          <w:rFonts w:cstheme="minorHAnsi"/>
        </w:rPr>
        <w:t>, considered historical returns</w:t>
      </w:r>
      <w:r w:rsidR="000D7791">
        <w:rPr>
          <w:rFonts w:cstheme="minorHAnsi"/>
        </w:rPr>
        <w:t xml:space="preserve"> of Standard and Poor’s (S&amp;P) 500 Index from 1950 to 2011 to project</w:t>
      </w:r>
      <w:r w:rsidR="005062F9" w:rsidRPr="004B2F56">
        <w:rPr>
          <w:rFonts w:cstheme="minorHAnsi"/>
        </w:rPr>
        <w:t xml:space="preserve"> that </w:t>
      </w:r>
      <w:proofErr w:type="spellStart"/>
      <w:r w:rsidR="005062F9" w:rsidRPr="004B2F56">
        <w:rPr>
          <w:rFonts w:cstheme="minorHAnsi"/>
        </w:rPr>
        <w:t>GHMSI’s</w:t>
      </w:r>
      <w:proofErr w:type="spellEnd"/>
      <w:r w:rsidR="005062F9" w:rsidRPr="004B2F56">
        <w:rPr>
          <w:rFonts w:cstheme="minorHAnsi"/>
        </w:rPr>
        <w:t xml:space="preserve"> equity portfolio would return </w:t>
      </w:r>
      <w:r w:rsidR="00C84AC7" w:rsidRPr="004B2F56">
        <w:rPr>
          <w:rFonts w:cstheme="minorHAnsi"/>
        </w:rPr>
        <w:t xml:space="preserve">an average of </w:t>
      </w:r>
      <w:r w:rsidR="005062F9" w:rsidRPr="004B2F56">
        <w:rPr>
          <w:rFonts w:cstheme="minorHAnsi"/>
        </w:rPr>
        <w:t xml:space="preserve">7% per year for the three-year period 2012-2014. </w:t>
      </w:r>
      <w:proofErr w:type="spellStart"/>
      <w:r w:rsidR="005062F9" w:rsidRPr="004B2F56">
        <w:rPr>
          <w:rFonts w:cstheme="minorHAnsi"/>
        </w:rPr>
        <w:t>A1587</w:t>
      </w:r>
      <w:proofErr w:type="spellEnd"/>
      <w:r w:rsidR="005062F9" w:rsidRPr="004B2F56">
        <w:rPr>
          <w:rFonts w:cstheme="minorHAnsi"/>
        </w:rPr>
        <w:t xml:space="preserve">. </w:t>
      </w:r>
      <w:r w:rsidR="00C84AC7" w:rsidRPr="004B2F56">
        <w:rPr>
          <w:rFonts w:cstheme="minorHAnsi"/>
        </w:rPr>
        <w:t xml:space="preserve">If each year’s growth was at </w:t>
      </w:r>
      <w:r w:rsidR="00D84954" w:rsidRPr="004B2F56">
        <w:rPr>
          <w:rFonts w:cstheme="minorHAnsi"/>
        </w:rPr>
        <w:t>th</w:t>
      </w:r>
      <w:r w:rsidR="00D84954">
        <w:rPr>
          <w:rFonts w:cstheme="minorHAnsi"/>
        </w:rPr>
        <w:t>is</w:t>
      </w:r>
      <w:r w:rsidR="00D84954" w:rsidRPr="004B2F56">
        <w:rPr>
          <w:rFonts w:cstheme="minorHAnsi"/>
        </w:rPr>
        <w:t xml:space="preserve"> </w:t>
      </w:r>
      <w:r w:rsidR="00C84AC7" w:rsidRPr="004B2F56">
        <w:rPr>
          <w:rFonts w:cstheme="minorHAnsi"/>
        </w:rPr>
        <w:t xml:space="preserve">average, </w:t>
      </w:r>
      <w:proofErr w:type="spellStart"/>
      <w:r w:rsidR="00D84954">
        <w:rPr>
          <w:rFonts w:cstheme="minorHAnsi"/>
        </w:rPr>
        <w:t>GHMSI’s</w:t>
      </w:r>
      <w:proofErr w:type="spellEnd"/>
      <w:r w:rsidR="00C84AC7" w:rsidRPr="004B2F56">
        <w:rPr>
          <w:rFonts w:cstheme="minorHAnsi"/>
        </w:rPr>
        <w:t xml:space="preserve"> portfolio</w:t>
      </w:r>
      <w:r w:rsidR="00D84954" w:rsidRPr="00D84954">
        <w:rPr>
          <w:rFonts w:cstheme="minorHAnsi"/>
        </w:rPr>
        <w:t xml:space="preserve"> </w:t>
      </w:r>
      <w:r w:rsidR="00D84954">
        <w:rPr>
          <w:rFonts w:cstheme="minorHAnsi"/>
        </w:rPr>
        <w:t xml:space="preserve">would have increased </w:t>
      </w:r>
      <w:r w:rsidR="00C84AC7" w:rsidRPr="004B2F56">
        <w:rPr>
          <w:rFonts w:cstheme="minorHAnsi"/>
        </w:rPr>
        <w:t xml:space="preserve">by $97,537,508 </w:t>
      </w:r>
      <w:r w:rsidR="008425DF" w:rsidRPr="004B2F56">
        <w:rPr>
          <w:rFonts w:cstheme="minorHAnsi"/>
        </w:rPr>
        <w:t>(</w:t>
      </w:r>
      <w:r w:rsidR="008425DF">
        <w:rPr>
          <w:rFonts w:cstheme="minorHAnsi"/>
        </w:rPr>
        <w:t>annual</w:t>
      </w:r>
      <w:r w:rsidR="00E518CB">
        <w:rPr>
          <w:rFonts w:cstheme="minorHAnsi"/>
        </w:rPr>
        <w:t xml:space="preserve"> growth at 7% for three years would produce compounded growth of </w:t>
      </w:r>
      <w:r w:rsidR="00C84AC7" w:rsidRPr="004B2F56">
        <w:rPr>
          <w:rFonts w:cstheme="minorHAnsi"/>
        </w:rPr>
        <w:t xml:space="preserve">22.5%). </w:t>
      </w:r>
    </w:p>
    <w:p w:rsidR="009F59E6" w:rsidRPr="004B2F56" w:rsidRDefault="009A0315" w:rsidP="00FE3CE0">
      <w:pPr>
        <w:spacing w:after="240"/>
        <w:ind w:firstLine="720"/>
        <w:jc w:val="both"/>
        <w:rPr>
          <w:rFonts w:cstheme="minorHAnsi"/>
        </w:rPr>
      </w:pPr>
      <w:r w:rsidRPr="004B2F56">
        <w:rPr>
          <w:rFonts w:cstheme="minorHAnsi"/>
        </w:rPr>
        <w:t>As</w:t>
      </w:r>
      <w:r w:rsidR="00C90414">
        <w:rPr>
          <w:rFonts w:cstheme="minorHAnsi"/>
        </w:rPr>
        <w:t xml:space="preserve"> further</w:t>
      </w:r>
      <w:r w:rsidRPr="004B2F56">
        <w:rPr>
          <w:rFonts w:cstheme="minorHAnsi"/>
        </w:rPr>
        <w:t xml:space="preserve"> explained below, </w:t>
      </w:r>
      <w:proofErr w:type="spellStart"/>
      <w:r w:rsidRPr="004B2F56">
        <w:rPr>
          <w:rFonts w:cstheme="minorHAnsi"/>
        </w:rPr>
        <w:t>Milliman</w:t>
      </w:r>
      <w:proofErr w:type="spellEnd"/>
      <w:r w:rsidRPr="004B2F56">
        <w:rPr>
          <w:rFonts w:cstheme="minorHAnsi"/>
        </w:rPr>
        <w:t xml:space="preserve"> used a probability distribution that concluded, in the face of this historical data, that the </w:t>
      </w:r>
      <w:r w:rsidR="000A339E">
        <w:rPr>
          <w:rFonts w:cstheme="minorHAnsi"/>
        </w:rPr>
        <w:t xml:space="preserve">most </w:t>
      </w:r>
      <w:r w:rsidRPr="004B2F56">
        <w:rPr>
          <w:rFonts w:cstheme="minorHAnsi"/>
        </w:rPr>
        <w:t>likely return on equities for the 2012-2014 period would be</w:t>
      </w:r>
      <w:r w:rsidR="00E518CB">
        <w:rPr>
          <w:rFonts w:cstheme="minorHAnsi"/>
        </w:rPr>
        <w:t xml:space="preserve"> only</w:t>
      </w:r>
      <w:r w:rsidRPr="004B2F56">
        <w:rPr>
          <w:rFonts w:cstheme="minorHAnsi"/>
        </w:rPr>
        <w:t xml:space="preserve"> $6.1 million, or $91.4 million less than </w:t>
      </w:r>
      <w:r w:rsidR="00F129E7" w:rsidRPr="004B2F56">
        <w:rPr>
          <w:rFonts w:cstheme="minorHAnsi"/>
        </w:rPr>
        <w:t xml:space="preserve">the $97 million return </w:t>
      </w:r>
      <w:proofErr w:type="spellStart"/>
      <w:r w:rsidR="00F129E7" w:rsidRPr="004B2F56">
        <w:rPr>
          <w:rFonts w:cstheme="minorHAnsi"/>
        </w:rPr>
        <w:t>Milliman</w:t>
      </w:r>
      <w:proofErr w:type="spellEnd"/>
      <w:r w:rsidR="00F129E7" w:rsidRPr="004B2F56">
        <w:rPr>
          <w:rFonts w:cstheme="minorHAnsi"/>
        </w:rPr>
        <w:t xml:space="preserve"> had projected for this time period</w:t>
      </w:r>
      <w:r w:rsidR="00811AFB">
        <w:rPr>
          <w:rFonts w:cstheme="minorHAnsi"/>
        </w:rPr>
        <w:t>.</w:t>
      </w:r>
    </w:p>
    <w:p w:rsidR="005062F9" w:rsidRPr="004B2F56" w:rsidRDefault="00F129E7" w:rsidP="00FE3CE0">
      <w:pPr>
        <w:spacing w:after="240"/>
        <w:ind w:firstLine="720"/>
        <w:jc w:val="both"/>
        <w:rPr>
          <w:rFonts w:cstheme="minorHAnsi"/>
        </w:rPr>
      </w:pPr>
      <w:proofErr w:type="spellStart"/>
      <w:r w:rsidRPr="004B2F56">
        <w:rPr>
          <w:rFonts w:cstheme="minorHAnsi"/>
          <w:i/>
        </w:rPr>
        <w:t>Milliman’s</w:t>
      </w:r>
      <w:proofErr w:type="spellEnd"/>
      <w:r w:rsidRPr="004B2F56">
        <w:rPr>
          <w:rFonts w:cstheme="minorHAnsi"/>
          <w:i/>
        </w:rPr>
        <w:t xml:space="preserve"> probability distribution</w:t>
      </w:r>
      <w:r w:rsidRPr="004B2F56">
        <w:rPr>
          <w:rFonts w:cstheme="minorHAnsi"/>
        </w:rPr>
        <w:t xml:space="preserve">. </w:t>
      </w:r>
      <w:proofErr w:type="spellStart"/>
      <w:r w:rsidR="000938A9" w:rsidRPr="004B2F56">
        <w:rPr>
          <w:rFonts w:cstheme="minorHAnsi"/>
        </w:rPr>
        <w:t>Milliman</w:t>
      </w:r>
      <w:proofErr w:type="spellEnd"/>
      <w:r w:rsidR="000938A9" w:rsidRPr="004B2F56">
        <w:rPr>
          <w:rFonts w:cstheme="minorHAnsi"/>
        </w:rPr>
        <w:t xml:space="preserve"> reached this result by employing in its </w:t>
      </w:r>
      <w:r w:rsidR="005062F9" w:rsidRPr="004B2F56">
        <w:rPr>
          <w:rFonts w:cstheme="minorHAnsi"/>
        </w:rPr>
        <w:t>statistical model</w:t>
      </w:r>
      <w:r w:rsidR="007D4667">
        <w:rPr>
          <w:rFonts w:cstheme="minorHAnsi"/>
        </w:rPr>
        <w:t xml:space="preserve"> </w:t>
      </w:r>
      <w:r w:rsidR="00D53AFA" w:rsidRPr="004B2F56">
        <w:rPr>
          <w:rFonts w:cstheme="minorHAnsi"/>
        </w:rPr>
        <w:t>a probability distribution reflecting</w:t>
      </w:r>
      <w:r w:rsidR="005062F9" w:rsidRPr="004B2F56">
        <w:rPr>
          <w:rFonts w:cstheme="minorHAnsi"/>
        </w:rPr>
        <w:t xml:space="preserve"> “the potential impact of a deviation from the assumed 7.0 % [annual] underlying rate of return on equit</w:t>
      </w:r>
      <w:r w:rsidR="0064135A" w:rsidRPr="004B2F56">
        <w:rPr>
          <w:rFonts w:cstheme="minorHAnsi"/>
        </w:rPr>
        <w:t>i</w:t>
      </w:r>
      <w:r w:rsidR="005062F9" w:rsidRPr="004B2F56">
        <w:rPr>
          <w:rFonts w:cstheme="minorHAnsi"/>
        </w:rPr>
        <w:t xml:space="preserve">es, due to fluctuation in market values during the projection period [2012-2014].” </w:t>
      </w:r>
      <w:proofErr w:type="spellStart"/>
      <w:r w:rsidR="005062F9" w:rsidRPr="004B2F56">
        <w:rPr>
          <w:rFonts w:cstheme="minorHAnsi"/>
        </w:rPr>
        <w:t>A1587</w:t>
      </w:r>
      <w:proofErr w:type="spellEnd"/>
      <w:r w:rsidR="005062F9" w:rsidRPr="004B2F56">
        <w:rPr>
          <w:rFonts w:cstheme="minorHAnsi"/>
        </w:rPr>
        <w:t>.</w:t>
      </w:r>
      <w:r w:rsidR="00983ABB" w:rsidRPr="004B2F56">
        <w:rPr>
          <w:rFonts w:cstheme="minorHAnsi"/>
        </w:rPr>
        <w:t xml:space="preserve"> In that probability distribution, the deviation with the largest probability was a 29% shortfall </w:t>
      </w:r>
      <w:r w:rsidR="00AA1058" w:rsidRPr="004B2F56">
        <w:rPr>
          <w:rFonts w:cstheme="minorHAnsi"/>
        </w:rPr>
        <w:t>totaling</w:t>
      </w:r>
      <w:r w:rsidR="00E549F4" w:rsidRPr="004B2F56">
        <w:rPr>
          <w:rFonts w:cstheme="minorHAnsi"/>
        </w:rPr>
        <w:t xml:space="preserve"> </w:t>
      </w:r>
      <w:r w:rsidR="00983ABB" w:rsidRPr="004B2F56">
        <w:rPr>
          <w:rFonts w:cstheme="minorHAnsi"/>
        </w:rPr>
        <w:t>$91.4 million; in other words, the most likely deviation from th</w:t>
      </w:r>
      <w:r w:rsidR="00E549F4" w:rsidRPr="004B2F56">
        <w:rPr>
          <w:rFonts w:cstheme="minorHAnsi"/>
        </w:rPr>
        <w:t>e $97 million</w:t>
      </w:r>
      <w:r w:rsidR="007D4667">
        <w:rPr>
          <w:rFonts w:cstheme="minorHAnsi"/>
        </w:rPr>
        <w:t xml:space="preserve"> </w:t>
      </w:r>
      <w:r w:rsidR="00983ABB" w:rsidRPr="004B2F56">
        <w:rPr>
          <w:rFonts w:cstheme="minorHAnsi"/>
        </w:rPr>
        <w:t>expected gain</w:t>
      </w:r>
      <w:r w:rsidR="00E549F4" w:rsidRPr="004B2F56">
        <w:rPr>
          <w:rFonts w:cstheme="minorHAnsi"/>
        </w:rPr>
        <w:t xml:space="preserve"> on the equity portfolio</w:t>
      </w:r>
      <w:r w:rsidR="00983ABB" w:rsidRPr="004B2F56">
        <w:rPr>
          <w:rFonts w:cstheme="minorHAnsi"/>
        </w:rPr>
        <w:t xml:space="preserve"> was a shortfall equivalent to -3% “of </w:t>
      </w:r>
      <w:proofErr w:type="spellStart"/>
      <w:r w:rsidR="00983ABB" w:rsidRPr="004B2F56">
        <w:rPr>
          <w:rFonts w:cstheme="minorHAnsi"/>
        </w:rPr>
        <w:t>NonFEP</w:t>
      </w:r>
      <w:proofErr w:type="spellEnd"/>
      <w:r w:rsidR="00983ABB" w:rsidRPr="004B2F56">
        <w:rPr>
          <w:rFonts w:cstheme="minorHAnsi"/>
        </w:rPr>
        <w:t xml:space="preserve"> Insured Premium.” </w:t>
      </w:r>
      <w:proofErr w:type="spellStart"/>
      <w:r w:rsidR="00983ABB" w:rsidRPr="004B2F56">
        <w:rPr>
          <w:rFonts w:cstheme="minorHAnsi"/>
        </w:rPr>
        <w:t>A1588</w:t>
      </w:r>
      <w:proofErr w:type="spellEnd"/>
      <w:r w:rsidR="00F87A37">
        <w:rPr>
          <w:rFonts w:cstheme="minorHAnsi"/>
        </w:rPr>
        <w:t xml:space="preserve">. </w:t>
      </w:r>
      <w:r w:rsidR="00E518CB">
        <w:rPr>
          <w:rFonts w:cstheme="minorHAnsi"/>
        </w:rPr>
        <w:t xml:space="preserve">Owing again to the 6-1 mismatch between the size of </w:t>
      </w:r>
      <w:proofErr w:type="spellStart"/>
      <w:r w:rsidR="00E518CB">
        <w:rPr>
          <w:rFonts w:cstheme="minorHAnsi"/>
        </w:rPr>
        <w:t>GHMSI’s</w:t>
      </w:r>
      <w:proofErr w:type="spellEnd"/>
      <w:r w:rsidR="00E518CB">
        <w:rPr>
          <w:rFonts w:cstheme="minorHAnsi"/>
        </w:rPr>
        <w:t xml:space="preserve"> equity portfolio and the projected size of its </w:t>
      </w:r>
      <w:proofErr w:type="spellStart"/>
      <w:r w:rsidR="00E518CB">
        <w:rPr>
          <w:rFonts w:cstheme="minorHAnsi"/>
        </w:rPr>
        <w:t>nonFEP</w:t>
      </w:r>
      <w:proofErr w:type="spellEnd"/>
      <w:r w:rsidR="00E518CB">
        <w:rPr>
          <w:rFonts w:cstheme="minorHAnsi"/>
        </w:rPr>
        <w:t xml:space="preserve"> premium revenue, </w:t>
      </w:r>
      <w:proofErr w:type="spellStart"/>
      <w:r w:rsidR="002E19C0" w:rsidRPr="004B2F56">
        <w:rPr>
          <w:rFonts w:cstheme="minorHAnsi"/>
        </w:rPr>
        <w:t>Milliman</w:t>
      </w:r>
      <w:r w:rsidR="00E518CB">
        <w:rPr>
          <w:rFonts w:cstheme="minorHAnsi"/>
        </w:rPr>
        <w:t>’s</w:t>
      </w:r>
      <w:proofErr w:type="spellEnd"/>
      <w:r w:rsidR="00E518CB">
        <w:rPr>
          <w:rFonts w:cstheme="minorHAnsi"/>
        </w:rPr>
        <w:t xml:space="preserve"> statistical model</w:t>
      </w:r>
      <w:r w:rsidR="002E19C0" w:rsidRPr="004B2F56">
        <w:rPr>
          <w:rFonts w:cstheme="minorHAnsi"/>
        </w:rPr>
        <w:t xml:space="preserve"> in effect concluded that the most likely</w:t>
      </w:r>
      <w:r w:rsidR="00E518CB">
        <w:rPr>
          <w:rFonts w:cstheme="minorHAnsi"/>
        </w:rPr>
        <w:t xml:space="preserve"> equity portfolio</w:t>
      </w:r>
      <w:r w:rsidR="002E19C0" w:rsidRPr="004B2F56">
        <w:rPr>
          <w:rFonts w:cstheme="minorHAnsi"/>
        </w:rPr>
        <w:t xml:space="preserve"> gain on an average annual basis would be </w:t>
      </w:r>
      <w:r w:rsidR="009A6BAD">
        <w:rPr>
          <w:rFonts w:cstheme="minorHAnsi"/>
        </w:rPr>
        <w:t>barely more than</w:t>
      </w:r>
      <w:r w:rsidR="002E19C0" w:rsidRPr="004B2F56">
        <w:rPr>
          <w:rFonts w:cstheme="minorHAnsi"/>
        </w:rPr>
        <w:t xml:space="preserve"> 1% – even though, as the Commissioner noted, the average annual gain over the previous 50 years had been 7.3%, and even though </w:t>
      </w:r>
      <w:proofErr w:type="spellStart"/>
      <w:r w:rsidR="002E19C0" w:rsidRPr="004B2F56">
        <w:rPr>
          <w:rFonts w:cstheme="minorHAnsi"/>
        </w:rPr>
        <w:t>Milliman</w:t>
      </w:r>
      <w:proofErr w:type="spellEnd"/>
      <w:r w:rsidR="002E19C0" w:rsidRPr="004B2F56">
        <w:rPr>
          <w:rFonts w:cstheme="minorHAnsi"/>
        </w:rPr>
        <w:t xml:space="preserve"> projected that the </w:t>
      </w:r>
      <w:r w:rsidR="00E518CB">
        <w:rPr>
          <w:rFonts w:cstheme="minorHAnsi"/>
        </w:rPr>
        <w:t xml:space="preserve">actual </w:t>
      </w:r>
      <w:r w:rsidR="002E19C0" w:rsidRPr="004B2F56">
        <w:rPr>
          <w:rFonts w:cstheme="minorHAnsi"/>
        </w:rPr>
        <w:t>gain would be 7%.</w:t>
      </w:r>
    </w:p>
    <w:p w:rsidR="005062F9" w:rsidRPr="004B2F56" w:rsidRDefault="005062F9" w:rsidP="00FE3CE0">
      <w:pPr>
        <w:spacing w:after="240"/>
        <w:ind w:firstLine="720"/>
        <w:jc w:val="both"/>
        <w:rPr>
          <w:rFonts w:cstheme="minorHAnsi"/>
        </w:rPr>
      </w:pPr>
      <w:r w:rsidRPr="004B2F56">
        <w:rPr>
          <w:rFonts w:cstheme="minorHAnsi"/>
        </w:rPr>
        <w:t>The Commissioner’s expert, Rector</w:t>
      </w:r>
      <w:r w:rsidR="00811AFB">
        <w:rPr>
          <w:rFonts w:cstheme="minorHAnsi"/>
        </w:rPr>
        <w:t xml:space="preserve"> &amp; Associates, Inc.</w:t>
      </w:r>
      <w:r w:rsidRPr="004B2F56">
        <w:rPr>
          <w:rFonts w:cstheme="minorHAnsi"/>
        </w:rPr>
        <w:t xml:space="preserve">, </w:t>
      </w:r>
      <w:r w:rsidR="00F43C70" w:rsidRPr="004B2F56">
        <w:rPr>
          <w:rFonts w:cstheme="minorHAnsi"/>
        </w:rPr>
        <w:t>agreed</w:t>
      </w:r>
      <w:r w:rsidR="00E518CB">
        <w:rPr>
          <w:rFonts w:cstheme="minorHAnsi"/>
        </w:rPr>
        <w:t xml:space="preserve"> with this approach</w:t>
      </w:r>
      <w:r w:rsidR="009E7BD6" w:rsidRPr="004B2F56">
        <w:rPr>
          <w:rFonts w:cstheme="minorHAnsi"/>
        </w:rPr>
        <w:t>, as did the Commissioner</w:t>
      </w:r>
      <w:r w:rsidR="00F43C70" w:rsidRPr="004B2F56">
        <w:rPr>
          <w:rFonts w:cstheme="minorHAnsi"/>
        </w:rPr>
        <w:t xml:space="preserve">. They </w:t>
      </w:r>
      <w:r w:rsidRPr="004B2F56">
        <w:rPr>
          <w:rFonts w:cstheme="minorHAnsi"/>
        </w:rPr>
        <w:t xml:space="preserve">adopted </w:t>
      </w:r>
      <w:proofErr w:type="spellStart"/>
      <w:r w:rsidRPr="004B2F56">
        <w:rPr>
          <w:rFonts w:cstheme="minorHAnsi"/>
        </w:rPr>
        <w:t>Milliman’s</w:t>
      </w:r>
      <w:proofErr w:type="spellEnd"/>
      <w:r w:rsidRPr="004B2F56">
        <w:rPr>
          <w:rFonts w:cstheme="minorHAnsi"/>
        </w:rPr>
        <w:t xml:space="preserve"> probability distribution, finding that “while equity values have increased at an average rate of 7.3% over the last 50 years, there has been significant volati</w:t>
      </w:r>
      <w:r w:rsidR="00A71B80">
        <w:rPr>
          <w:rFonts w:cstheme="minorHAnsi"/>
        </w:rPr>
        <w:t xml:space="preserve">lity around this average.” </w:t>
      </w:r>
      <w:r w:rsidRPr="004B2F56">
        <w:rPr>
          <w:rFonts w:cstheme="minorHAnsi"/>
        </w:rPr>
        <w:t>2014 Decision</w:t>
      </w:r>
      <w:r w:rsidR="00A71B80">
        <w:rPr>
          <w:rFonts w:cstheme="minorHAnsi"/>
        </w:rPr>
        <w:t xml:space="preserve"> at 37 </w:t>
      </w:r>
      <w:r w:rsidRPr="004B2F56">
        <w:rPr>
          <w:rFonts w:cstheme="minorHAnsi"/>
        </w:rPr>
        <w:t xml:space="preserve">(citing Rector Third Scheduling Order at 5-6). Rector found, and the Commissioner agreed, that </w:t>
      </w:r>
      <w:proofErr w:type="spellStart"/>
      <w:r w:rsidRPr="004B2F56">
        <w:rPr>
          <w:rFonts w:cstheme="minorHAnsi"/>
        </w:rPr>
        <w:t>Milliman’s</w:t>
      </w:r>
      <w:proofErr w:type="spellEnd"/>
      <w:r w:rsidRPr="004B2F56">
        <w:rPr>
          <w:rFonts w:cstheme="minorHAnsi"/>
        </w:rPr>
        <w:t xml:space="preserve"> probability distribution reasonably reflected the “potential for deviation and variation” from the 7% annual return assumed in </w:t>
      </w:r>
      <w:proofErr w:type="spellStart"/>
      <w:r w:rsidRPr="004B2F56">
        <w:rPr>
          <w:rFonts w:cstheme="minorHAnsi"/>
        </w:rPr>
        <w:t>Milliman’s</w:t>
      </w:r>
      <w:proofErr w:type="spellEnd"/>
      <w:r w:rsidRPr="004B2F56">
        <w:rPr>
          <w:rFonts w:cstheme="minorHAnsi"/>
        </w:rPr>
        <w:t xml:space="preserve"> pro forma projection for equity return during 2012-2014. </w:t>
      </w:r>
      <w:r w:rsidRPr="004B2F56">
        <w:rPr>
          <w:rFonts w:cstheme="minorHAnsi"/>
          <w:i/>
        </w:rPr>
        <w:t>Id</w:t>
      </w:r>
      <w:r w:rsidRPr="004B2F56">
        <w:rPr>
          <w:rFonts w:cstheme="minorHAnsi"/>
        </w:rPr>
        <w:t>.</w:t>
      </w:r>
    </w:p>
    <w:p w:rsidR="005062F9" w:rsidRPr="004B2F56" w:rsidRDefault="00425B72" w:rsidP="00FE3CE0">
      <w:pPr>
        <w:spacing w:after="240"/>
        <w:ind w:firstLine="720"/>
        <w:jc w:val="both"/>
        <w:rPr>
          <w:rFonts w:cstheme="minorHAnsi"/>
        </w:rPr>
      </w:pPr>
      <w:r w:rsidRPr="004B2F56">
        <w:rPr>
          <w:rFonts w:cstheme="minorHAnsi"/>
          <w:i/>
        </w:rPr>
        <w:t xml:space="preserve">Inconsistency with </w:t>
      </w:r>
      <w:proofErr w:type="spellStart"/>
      <w:r w:rsidRPr="004B2F56">
        <w:rPr>
          <w:rFonts w:cstheme="minorHAnsi"/>
          <w:i/>
        </w:rPr>
        <w:t>MIEAA</w:t>
      </w:r>
      <w:proofErr w:type="spellEnd"/>
      <w:r w:rsidRPr="004B2F56">
        <w:rPr>
          <w:rFonts w:cstheme="minorHAnsi"/>
        </w:rPr>
        <w:t xml:space="preserve">. The Commissioner’s adoption of this probability distribution </w:t>
      </w:r>
      <w:r w:rsidR="00E518CB">
        <w:rPr>
          <w:rFonts w:cstheme="minorHAnsi"/>
        </w:rPr>
        <w:t>not only involves a substantial mathematical miscalculation,</w:t>
      </w:r>
      <w:r w:rsidR="008425DF">
        <w:rPr>
          <w:rFonts w:cstheme="minorHAnsi"/>
        </w:rPr>
        <w:t xml:space="preserve"> but it is also</w:t>
      </w:r>
      <w:r w:rsidR="00AB2F85" w:rsidRPr="004B2F56">
        <w:rPr>
          <w:rFonts w:cstheme="minorHAnsi"/>
        </w:rPr>
        <w:t xml:space="preserve"> inconsistent with the statutory standard articulated by the Commissioner.</w:t>
      </w:r>
      <w:r w:rsidR="007D4667">
        <w:rPr>
          <w:rFonts w:cstheme="minorHAnsi"/>
        </w:rPr>
        <w:t xml:space="preserve"> </w:t>
      </w:r>
      <w:r w:rsidR="00AB2F85" w:rsidRPr="004B2F56">
        <w:rPr>
          <w:rFonts w:cstheme="minorHAnsi"/>
        </w:rPr>
        <w:t xml:space="preserve">Under </w:t>
      </w:r>
      <w:proofErr w:type="spellStart"/>
      <w:r w:rsidR="00AB2F85" w:rsidRPr="004B2F56">
        <w:rPr>
          <w:rFonts w:cstheme="minorHAnsi"/>
        </w:rPr>
        <w:t>MIEAA</w:t>
      </w:r>
      <w:proofErr w:type="spellEnd"/>
      <w:r w:rsidR="00AB2F85" w:rsidRPr="004B2F56">
        <w:rPr>
          <w:rFonts w:cstheme="minorHAnsi"/>
        </w:rPr>
        <w:t>, th</w:t>
      </w:r>
      <w:r w:rsidR="008425DF">
        <w:rPr>
          <w:rFonts w:cstheme="minorHAnsi"/>
        </w:rPr>
        <w:t>e probability distribution</w:t>
      </w:r>
      <w:r w:rsidR="00AB2F85" w:rsidRPr="004B2F56">
        <w:rPr>
          <w:rFonts w:cstheme="minorHAnsi"/>
        </w:rPr>
        <w:t xml:space="preserve"> must reflect “middle-of-the-fairway” projections of how “future experience may deviate from historical experience.”</w:t>
      </w:r>
      <w:r w:rsidR="007D4667">
        <w:rPr>
          <w:rFonts w:cstheme="minorHAnsi"/>
        </w:rPr>
        <w:t xml:space="preserve"> </w:t>
      </w:r>
      <w:r w:rsidR="00AB2F85" w:rsidRPr="004B2F56">
        <w:rPr>
          <w:rFonts w:cstheme="minorHAnsi"/>
        </w:rPr>
        <w:t>A</w:t>
      </w:r>
      <w:r w:rsidR="005062F9" w:rsidRPr="004B2F56">
        <w:rPr>
          <w:rFonts w:cstheme="minorHAnsi"/>
        </w:rPr>
        <w:t xml:space="preserve">s Appleseed showed in its motion for reconsideration of the Commissioner’s December 2014 Decision, the probability distribution used in the </w:t>
      </w:r>
      <w:proofErr w:type="spellStart"/>
      <w:r w:rsidR="005062F9" w:rsidRPr="004B2F56">
        <w:rPr>
          <w:rFonts w:cstheme="minorHAnsi"/>
        </w:rPr>
        <w:t>Milliman</w:t>
      </w:r>
      <w:proofErr w:type="spellEnd"/>
      <w:r w:rsidR="005062F9" w:rsidRPr="004B2F56">
        <w:rPr>
          <w:rFonts w:cstheme="minorHAnsi"/>
        </w:rPr>
        <w:t xml:space="preserve"> </w:t>
      </w:r>
      <w:r w:rsidR="005062F9" w:rsidRPr="004B2F56">
        <w:rPr>
          <w:rFonts w:cstheme="minorHAnsi"/>
        </w:rPr>
        <w:lastRenderedPageBreak/>
        <w:t>model did not reasonably reflect potential deviations from the 7% equity projection.</w:t>
      </w:r>
      <w:r w:rsidR="00152D74">
        <w:rPr>
          <w:rFonts w:cstheme="minorHAnsi"/>
        </w:rPr>
        <w:t xml:space="preserve"> </w:t>
      </w:r>
      <w:r w:rsidR="00152D74" w:rsidRPr="004B2F56">
        <w:rPr>
          <w:rFonts w:cstheme="minorHAnsi"/>
        </w:rPr>
        <w:t>D.C. Appleseed’s Motion for Reconsideration</w:t>
      </w:r>
      <w:r w:rsidR="00152D74">
        <w:rPr>
          <w:rFonts w:cstheme="minorHAnsi"/>
        </w:rPr>
        <w:t xml:space="preserve"> at 4–8</w:t>
      </w:r>
      <w:r w:rsidR="00152D74" w:rsidRPr="004B2F56">
        <w:rPr>
          <w:rFonts w:cstheme="minorHAnsi"/>
        </w:rPr>
        <w:t xml:space="preserve">, </w:t>
      </w:r>
      <w:r w:rsidR="00152D74" w:rsidRPr="004B2F56">
        <w:rPr>
          <w:rFonts w:cstheme="minorHAnsi"/>
          <w:i/>
        </w:rPr>
        <w:t xml:space="preserve">In re Surplus Review &amp; Determination for Group </w:t>
      </w:r>
      <w:r w:rsidR="00152D74">
        <w:rPr>
          <w:rFonts w:cstheme="minorHAnsi"/>
          <w:i/>
        </w:rPr>
        <w:t>Hospitalization and Medical Services</w:t>
      </w:r>
      <w:r w:rsidR="00152D74" w:rsidRPr="004B2F56">
        <w:rPr>
          <w:rFonts w:cstheme="minorHAnsi"/>
          <w:i/>
        </w:rPr>
        <w:t>., Inc.</w:t>
      </w:r>
      <w:r w:rsidR="00152D74" w:rsidRPr="004B2F56">
        <w:rPr>
          <w:rFonts w:cstheme="minorHAnsi"/>
        </w:rPr>
        <w:t xml:space="preserve"> (Dep’t of Ins., Sec. &amp; Banking, Jan. 9, 2015)</w:t>
      </w:r>
      <w:r w:rsidR="00152D74">
        <w:rPr>
          <w:rFonts w:cstheme="minorHAnsi"/>
        </w:rPr>
        <w:t>.</w:t>
      </w:r>
      <w:r w:rsidR="007D4667">
        <w:rPr>
          <w:rFonts w:cstheme="minorHAnsi"/>
        </w:rPr>
        <w:t xml:space="preserve"> </w:t>
      </w:r>
      <w:r w:rsidR="005062F9" w:rsidRPr="004B2F56">
        <w:rPr>
          <w:rFonts w:cstheme="minorHAnsi"/>
        </w:rPr>
        <w:t xml:space="preserve">Nowhere did </w:t>
      </w:r>
      <w:proofErr w:type="spellStart"/>
      <w:r w:rsidR="005062F9" w:rsidRPr="004B2F56">
        <w:rPr>
          <w:rFonts w:cstheme="minorHAnsi"/>
        </w:rPr>
        <w:t>Milliman</w:t>
      </w:r>
      <w:proofErr w:type="spellEnd"/>
      <w:r w:rsidR="005062F9" w:rsidRPr="004B2F56">
        <w:rPr>
          <w:rFonts w:cstheme="minorHAnsi"/>
        </w:rPr>
        <w:t xml:space="preserve">, Rector, or the Commissioner offer any explanation of how or why the most likely future experience might deviate so drastically from historical experience. </w:t>
      </w:r>
    </w:p>
    <w:p w:rsidR="005062F9" w:rsidRPr="004B2F56" w:rsidRDefault="009C41DA" w:rsidP="00FE3CE0">
      <w:pPr>
        <w:spacing w:after="240"/>
        <w:ind w:firstLine="720"/>
        <w:jc w:val="both"/>
        <w:rPr>
          <w:rFonts w:cstheme="minorHAnsi"/>
        </w:rPr>
      </w:pPr>
      <w:r w:rsidRPr="004B2F56">
        <w:rPr>
          <w:rFonts w:cstheme="minorHAnsi"/>
        </w:rPr>
        <w:t>In sum, t</w:t>
      </w:r>
      <w:r w:rsidR="005062F9" w:rsidRPr="004B2F56">
        <w:rPr>
          <w:rFonts w:cstheme="minorHAnsi"/>
        </w:rPr>
        <w:t>he probability distribution</w:t>
      </w:r>
      <w:r w:rsidRPr="004B2F56">
        <w:rPr>
          <w:rFonts w:cstheme="minorHAnsi"/>
        </w:rPr>
        <w:t xml:space="preserve"> </w:t>
      </w:r>
      <w:r w:rsidR="00D157A5" w:rsidRPr="004B2F56">
        <w:rPr>
          <w:rFonts w:cstheme="minorHAnsi"/>
        </w:rPr>
        <w:t xml:space="preserve">on which </w:t>
      </w:r>
      <w:r w:rsidRPr="004B2F56">
        <w:rPr>
          <w:rFonts w:cstheme="minorHAnsi"/>
        </w:rPr>
        <w:t>the Commissioner</w:t>
      </w:r>
      <w:r w:rsidR="005062F9" w:rsidRPr="004B2F56">
        <w:rPr>
          <w:rFonts w:cstheme="minorHAnsi"/>
        </w:rPr>
        <w:t xml:space="preserve"> </w:t>
      </w:r>
      <w:r w:rsidR="00D157A5" w:rsidRPr="004B2F56">
        <w:rPr>
          <w:rFonts w:cstheme="minorHAnsi"/>
        </w:rPr>
        <w:t xml:space="preserve">relied </w:t>
      </w:r>
      <w:r w:rsidR="005062F9" w:rsidRPr="004B2F56">
        <w:rPr>
          <w:rFonts w:cstheme="minorHAnsi"/>
        </w:rPr>
        <w:t xml:space="preserve">assumed that </w:t>
      </w:r>
      <w:proofErr w:type="spellStart"/>
      <w:r w:rsidR="005062F9" w:rsidRPr="004B2F56">
        <w:rPr>
          <w:rFonts w:cstheme="minorHAnsi"/>
        </w:rPr>
        <w:t>GHMSI</w:t>
      </w:r>
      <w:proofErr w:type="spellEnd"/>
      <w:r w:rsidR="005062F9" w:rsidRPr="004B2F56">
        <w:rPr>
          <w:rFonts w:cstheme="minorHAnsi"/>
        </w:rPr>
        <w:t xml:space="preserve"> would most likely </w:t>
      </w:r>
      <w:r w:rsidR="00EA6AAF" w:rsidRPr="004B2F56">
        <w:rPr>
          <w:rFonts w:cstheme="minorHAnsi"/>
        </w:rPr>
        <w:t>fall short by</w:t>
      </w:r>
      <w:r w:rsidR="005062F9" w:rsidRPr="004B2F56">
        <w:rPr>
          <w:rFonts w:cstheme="minorHAnsi"/>
        </w:rPr>
        <w:t xml:space="preserve"> $91 million from its projected equity return and need</w:t>
      </w:r>
      <w:r w:rsidR="00D157A5" w:rsidRPr="004B2F56">
        <w:rPr>
          <w:rFonts w:cstheme="minorHAnsi"/>
        </w:rPr>
        <w:t>ed</w:t>
      </w:r>
      <w:r w:rsidR="005062F9" w:rsidRPr="004B2F56">
        <w:rPr>
          <w:rFonts w:cstheme="minorHAnsi"/>
        </w:rPr>
        <w:t xml:space="preserve"> at least that amount of additional surplus to make up for the loss. Nothing in the record</w:t>
      </w:r>
      <w:r w:rsidRPr="004B2F56">
        <w:rPr>
          <w:rFonts w:cstheme="minorHAnsi"/>
        </w:rPr>
        <w:t xml:space="preserve"> or the Commissioner’s stated standards</w:t>
      </w:r>
      <w:r w:rsidR="005062F9" w:rsidRPr="004B2F56">
        <w:rPr>
          <w:rFonts w:cstheme="minorHAnsi"/>
        </w:rPr>
        <w:t xml:space="preserve"> justifies such an assumption.</w:t>
      </w:r>
      <w:r w:rsidR="004630E6" w:rsidRPr="004630E6">
        <w:rPr>
          <w:rFonts w:cstheme="minorHAnsi"/>
        </w:rPr>
        <w:t xml:space="preserve"> </w:t>
      </w:r>
      <w:r w:rsidR="004630E6">
        <w:rPr>
          <w:rFonts w:cstheme="minorHAnsi"/>
        </w:rPr>
        <w:t xml:space="preserve">A correct evaluation of the equity portfolio factor alone increases </w:t>
      </w:r>
      <w:proofErr w:type="spellStart"/>
      <w:r w:rsidR="004630E6" w:rsidRPr="004B2F56">
        <w:rPr>
          <w:rFonts w:cstheme="minorHAnsi"/>
        </w:rPr>
        <w:t>GHMSI’s</w:t>
      </w:r>
      <w:proofErr w:type="spellEnd"/>
      <w:r w:rsidR="004630E6" w:rsidRPr="004B2F56">
        <w:rPr>
          <w:rFonts w:cstheme="minorHAnsi"/>
        </w:rPr>
        <w:t xml:space="preserve"> total excess surplus from $</w:t>
      </w:r>
      <w:r w:rsidR="004630E6">
        <w:rPr>
          <w:rFonts w:cstheme="minorHAnsi"/>
        </w:rPr>
        <w:t xml:space="preserve">268 </w:t>
      </w:r>
      <w:r w:rsidR="004630E6" w:rsidRPr="004B2F56">
        <w:rPr>
          <w:rFonts w:cstheme="minorHAnsi"/>
        </w:rPr>
        <w:t>million to $381.3 million.</w:t>
      </w:r>
    </w:p>
    <w:p w:rsidR="005062F9" w:rsidRPr="004B2F56" w:rsidRDefault="00993D95" w:rsidP="00B14007">
      <w:pPr>
        <w:pStyle w:val="Heading3"/>
      </w:pPr>
      <w:bookmarkStart w:id="9" w:name="_Toc40193615"/>
      <w:r w:rsidRPr="004B2F56">
        <w:t xml:space="preserve">Percentage </w:t>
      </w:r>
      <w:r w:rsidR="008450AB" w:rsidRPr="004B2F56">
        <w:t xml:space="preserve">of </w:t>
      </w:r>
      <w:proofErr w:type="spellStart"/>
      <w:r w:rsidR="008450AB" w:rsidRPr="004B2F56">
        <w:t>GHMSI</w:t>
      </w:r>
      <w:r w:rsidR="00FF0536" w:rsidRPr="004B2F56">
        <w:t>’s</w:t>
      </w:r>
      <w:proofErr w:type="spellEnd"/>
      <w:r w:rsidR="00FF0536" w:rsidRPr="004B2F56">
        <w:t xml:space="preserve"> Excessive</w:t>
      </w:r>
      <w:r w:rsidR="008450AB" w:rsidRPr="004B2F56">
        <w:t xml:space="preserve"> Surplus to </w:t>
      </w:r>
      <w:r w:rsidRPr="004B2F56">
        <w:t xml:space="preserve">be Attributed to </w:t>
      </w:r>
      <w:r w:rsidR="008450AB" w:rsidRPr="004B2F56">
        <w:t>the District</w:t>
      </w:r>
      <w:bookmarkEnd w:id="9"/>
    </w:p>
    <w:p w:rsidR="005062F9" w:rsidRPr="004B2F56" w:rsidRDefault="005062F9" w:rsidP="00B14007">
      <w:pPr>
        <w:pStyle w:val="Heading4"/>
        <w:keepNext/>
        <w:numPr>
          <w:ilvl w:val="0"/>
          <w:numId w:val="48"/>
        </w:numPr>
      </w:pPr>
      <w:r w:rsidRPr="004B2F56">
        <w:t>The Court of Appeals</w:t>
      </w:r>
      <w:r w:rsidR="00FF0536" w:rsidRPr="004B2F56">
        <w:t>’</w:t>
      </w:r>
      <w:r w:rsidRPr="004B2F56">
        <w:t xml:space="preserve"> D</w:t>
      </w:r>
      <w:r w:rsidR="00FF0536" w:rsidRPr="004B2F56">
        <w:t>irective on Remand</w:t>
      </w:r>
    </w:p>
    <w:p w:rsidR="005062F9" w:rsidRPr="004B2F56" w:rsidRDefault="005062F9" w:rsidP="00FE3CE0">
      <w:pPr>
        <w:spacing w:after="240"/>
        <w:ind w:firstLine="720"/>
        <w:jc w:val="both"/>
        <w:rPr>
          <w:rFonts w:cstheme="minorHAnsi"/>
        </w:rPr>
      </w:pPr>
      <w:r w:rsidRPr="004B2F56">
        <w:rPr>
          <w:rFonts w:cstheme="minorHAnsi"/>
        </w:rPr>
        <w:t>As</w:t>
      </w:r>
      <w:r w:rsidR="009003EB">
        <w:rPr>
          <w:rFonts w:cstheme="minorHAnsi"/>
        </w:rPr>
        <w:t xml:space="preserve"> </w:t>
      </w:r>
      <w:r w:rsidR="008E7F91">
        <w:rPr>
          <w:rFonts w:cstheme="minorHAnsi"/>
        </w:rPr>
        <w:t>Appleseed</w:t>
      </w:r>
      <w:r w:rsidRPr="004B2F56">
        <w:rPr>
          <w:rFonts w:cstheme="minorHAnsi"/>
        </w:rPr>
        <w:t xml:space="preserve"> explained before the Court of Appeals, the Commissioner did not follow his own principles when determining that just 21% of </w:t>
      </w:r>
      <w:proofErr w:type="spellStart"/>
      <w:r w:rsidRPr="004B2F56">
        <w:rPr>
          <w:rFonts w:cstheme="minorHAnsi"/>
        </w:rPr>
        <w:t>GHMSI’s</w:t>
      </w:r>
      <w:proofErr w:type="spellEnd"/>
      <w:r w:rsidRPr="004B2F56">
        <w:rPr>
          <w:rFonts w:cstheme="minorHAnsi"/>
        </w:rPr>
        <w:t xml:space="preserve"> excess surplus was attributable to the District of Columbia. </w:t>
      </w:r>
    </w:p>
    <w:p w:rsidR="005062F9" w:rsidRPr="004B2F56" w:rsidRDefault="005062F9" w:rsidP="00FE3CE0">
      <w:pPr>
        <w:spacing w:after="240"/>
        <w:ind w:firstLine="720"/>
        <w:jc w:val="both"/>
        <w:rPr>
          <w:rFonts w:cstheme="minorHAnsi"/>
        </w:rPr>
      </w:pPr>
      <w:r w:rsidRPr="004B2F56">
        <w:rPr>
          <w:rFonts w:cstheme="minorHAnsi"/>
        </w:rPr>
        <w:t>The Commissioner’s December 2014 Decision announced two principles for attributing excess surplus among the jurisdictions: (1) attribute premium revenue to the jurisdiction that was the situs of the contract giving rise to the revenue; and (2) assess the profitability of that revenue per jurisdiction in order to determine how much each jurisdiction contributed to excess surplus. 2014</w:t>
      </w:r>
      <w:r w:rsidRPr="00D0141F">
        <w:rPr>
          <w:rFonts w:cstheme="minorHAnsi"/>
        </w:rPr>
        <w:t xml:space="preserve"> </w:t>
      </w:r>
      <w:r w:rsidRPr="004B2F56">
        <w:rPr>
          <w:rFonts w:cstheme="minorHAnsi"/>
        </w:rPr>
        <w:t>Decision 52</w:t>
      </w:r>
      <w:r w:rsidR="00795CA5">
        <w:rPr>
          <w:rFonts w:cstheme="minorHAnsi"/>
        </w:rPr>
        <w:t>–</w:t>
      </w:r>
      <w:r w:rsidRPr="004B2F56">
        <w:rPr>
          <w:rFonts w:cstheme="minorHAnsi"/>
        </w:rPr>
        <w:t>53, 55</w:t>
      </w:r>
      <w:r w:rsidR="00795CA5">
        <w:rPr>
          <w:rFonts w:cstheme="minorHAnsi"/>
        </w:rPr>
        <w:t>–</w:t>
      </w:r>
      <w:r w:rsidRPr="004B2F56">
        <w:rPr>
          <w:rFonts w:cstheme="minorHAnsi"/>
        </w:rPr>
        <w:t xml:space="preserve">56. </w:t>
      </w:r>
    </w:p>
    <w:p w:rsidR="005062F9" w:rsidRPr="004B2F56" w:rsidRDefault="005062F9" w:rsidP="00FE3CE0">
      <w:pPr>
        <w:spacing w:after="240"/>
        <w:ind w:firstLine="720"/>
        <w:jc w:val="both"/>
        <w:rPr>
          <w:rFonts w:cstheme="minorHAnsi"/>
        </w:rPr>
      </w:pPr>
      <w:r w:rsidRPr="004B2F56">
        <w:rPr>
          <w:rFonts w:cstheme="minorHAnsi"/>
        </w:rPr>
        <w:t xml:space="preserve">The Court </w:t>
      </w:r>
      <w:r w:rsidR="0055422B" w:rsidRPr="004B2F56">
        <w:rPr>
          <w:rFonts w:cstheme="minorHAnsi"/>
        </w:rPr>
        <w:t xml:space="preserve">of Appeals </w:t>
      </w:r>
      <w:r w:rsidRPr="004B2F56">
        <w:rPr>
          <w:rFonts w:cstheme="minorHAnsi"/>
        </w:rPr>
        <w:t>agreed with</w:t>
      </w:r>
      <w:r w:rsidR="009003EB">
        <w:rPr>
          <w:rFonts w:cstheme="minorHAnsi"/>
        </w:rPr>
        <w:t xml:space="preserve"> </w:t>
      </w:r>
      <w:r w:rsidR="008E7F91">
        <w:rPr>
          <w:rFonts w:cstheme="minorHAnsi"/>
        </w:rPr>
        <w:t>Appleseed</w:t>
      </w:r>
      <w:r w:rsidRPr="004B2F56">
        <w:rPr>
          <w:rFonts w:cstheme="minorHAnsi"/>
        </w:rPr>
        <w:t xml:space="preserve"> that the Commissioner did not explain </w:t>
      </w:r>
      <w:r w:rsidR="0055422B" w:rsidRPr="004B2F56">
        <w:rPr>
          <w:rFonts w:cstheme="minorHAnsi"/>
        </w:rPr>
        <w:t xml:space="preserve">adequately </w:t>
      </w:r>
      <w:r w:rsidRPr="004B2F56">
        <w:rPr>
          <w:rFonts w:cstheme="minorHAnsi"/>
        </w:rPr>
        <w:t xml:space="preserve">how he applied those principles in </w:t>
      </w:r>
      <w:r w:rsidR="0055422B" w:rsidRPr="004B2F56">
        <w:rPr>
          <w:rFonts w:cstheme="minorHAnsi"/>
        </w:rPr>
        <w:t xml:space="preserve">determining the amount of </w:t>
      </w:r>
      <w:r w:rsidRPr="004B2F56">
        <w:rPr>
          <w:rFonts w:cstheme="minorHAnsi"/>
        </w:rPr>
        <w:t xml:space="preserve">excess surplus </w:t>
      </w:r>
      <w:r w:rsidR="0055422B" w:rsidRPr="004B2F56">
        <w:rPr>
          <w:rFonts w:cstheme="minorHAnsi"/>
        </w:rPr>
        <w:t xml:space="preserve">to be attributed to the District </w:t>
      </w:r>
      <w:r w:rsidRPr="004B2F56">
        <w:rPr>
          <w:rFonts w:cstheme="minorHAnsi"/>
        </w:rPr>
        <w:t xml:space="preserve">as </w:t>
      </w:r>
      <w:proofErr w:type="spellStart"/>
      <w:r w:rsidRPr="004B2F56">
        <w:rPr>
          <w:rFonts w:cstheme="minorHAnsi"/>
        </w:rPr>
        <w:t>MIEAA</w:t>
      </w:r>
      <w:proofErr w:type="spellEnd"/>
      <w:r w:rsidRPr="004B2F56">
        <w:rPr>
          <w:rFonts w:cstheme="minorHAnsi"/>
        </w:rPr>
        <w:t xml:space="preserve"> requires. </w:t>
      </w:r>
      <w:r w:rsidR="0055422B" w:rsidRPr="004B2F56">
        <w:rPr>
          <w:rFonts w:cstheme="minorHAnsi"/>
        </w:rPr>
        <w:t xml:space="preserve">The </w:t>
      </w:r>
      <w:r w:rsidRPr="004B2F56">
        <w:rPr>
          <w:rFonts w:cstheme="minorHAnsi"/>
        </w:rPr>
        <w:t xml:space="preserve">Court </w:t>
      </w:r>
      <w:r w:rsidR="0055422B" w:rsidRPr="004B2F56">
        <w:rPr>
          <w:rFonts w:cstheme="minorHAnsi"/>
        </w:rPr>
        <w:t>held that</w:t>
      </w:r>
      <w:r w:rsidRPr="004B2F56">
        <w:rPr>
          <w:rFonts w:cstheme="minorHAnsi"/>
        </w:rPr>
        <w:t xml:space="preserve"> “the Commissioner in this case has in a number of important aspects not adequately explained the approach the Commissioner took to apport</w:t>
      </w:r>
      <w:r w:rsidR="00ED4331">
        <w:rPr>
          <w:rFonts w:cstheme="minorHAnsi"/>
        </w:rPr>
        <w:t>ioning surplus.”</w:t>
      </w:r>
      <w:r w:rsidR="00795CA5">
        <w:rPr>
          <w:rFonts w:cstheme="minorHAnsi"/>
        </w:rPr>
        <w:t xml:space="preserve"> </w:t>
      </w:r>
      <w:r w:rsidR="00795CA5" w:rsidRPr="004B2F56">
        <w:rPr>
          <w:rFonts w:cstheme="minorHAnsi"/>
          <w:i/>
        </w:rPr>
        <w:t>D.C. Appleseed</w:t>
      </w:r>
      <w:r w:rsidR="00795CA5" w:rsidRPr="004B2F56">
        <w:rPr>
          <w:rFonts w:cstheme="minorHAnsi"/>
        </w:rPr>
        <w:t xml:space="preserve">, 214 </w:t>
      </w:r>
      <w:proofErr w:type="spellStart"/>
      <w:r w:rsidR="00795CA5" w:rsidRPr="004B2F56">
        <w:rPr>
          <w:rFonts w:cstheme="minorHAnsi"/>
        </w:rPr>
        <w:t>A.3d</w:t>
      </w:r>
      <w:proofErr w:type="spellEnd"/>
      <w:r w:rsidR="00795CA5" w:rsidRPr="004B2F56">
        <w:rPr>
          <w:rFonts w:cstheme="minorHAnsi"/>
        </w:rPr>
        <w:t xml:space="preserve"> at 99</w:t>
      </w:r>
      <w:r w:rsidR="00795CA5">
        <w:rPr>
          <w:rFonts w:cstheme="minorHAnsi"/>
        </w:rPr>
        <w:t>5.</w:t>
      </w:r>
    </w:p>
    <w:p w:rsidR="005062F9" w:rsidRPr="004B2F56" w:rsidRDefault="005062F9" w:rsidP="00795CA5">
      <w:pPr>
        <w:spacing w:after="240"/>
        <w:ind w:firstLine="720"/>
        <w:jc w:val="both"/>
        <w:rPr>
          <w:rFonts w:cstheme="minorHAnsi"/>
        </w:rPr>
      </w:pPr>
      <w:r w:rsidRPr="004B2F56">
        <w:rPr>
          <w:rFonts w:cstheme="minorHAnsi"/>
        </w:rPr>
        <w:t xml:space="preserve">The Court identified three ways in which the Commissioner’s explanation for his decision to attribute just 21% of </w:t>
      </w:r>
      <w:proofErr w:type="spellStart"/>
      <w:r w:rsidRPr="004B2F56">
        <w:rPr>
          <w:rFonts w:cstheme="minorHAnsi"/>
        </w:rPr>
        <w:t>GHMSI’s</w:t>
      </w:r>
      <w:proofErr w:type="spellEnd"/>
      <w:r w:rsidRPr="004B2F56">
        <w:rPr>
          <w:rFonts w:cstheme="minorHAnsi"/>
        </w:rPr>
        <w:t xml:space="preserve"> excess surplus to the District was inadequate: (1) the Commissioner limited his analysis of the jurisdictions’ relative contributions to surplus based solely “on a snapshot of 2011 rather than an effort to analyze </w:t>
      </w:r>
      <w:proofErr w:type="spellStart"/>
      <w:r w:rsidRPr="004B2F56">
        <w:rPr>
          <w:rFonts w:cstheme="minorHAnsi"/>
        </w:rPr>
        <w:t>GHMSI’s</w:t>
      </w:r>
      <w:proofErr w:type="spellEnd"/>
      <w:r w:rsidRPr="004B2F56">
        <w:rPr>
          <w:rFonts w:cstheme="minorHAnsi"/>
        </w:rPr>
        <w:t xml:space="preserve"> surplus history and to determine the District’s contributions to that surplus over time”; (2) the Commissioner “addressed only to a very limited degree alleged differences among the District, Virginia, and Maryland with respect to the riskiness and profitability of </w:t>
      </w:r>
      <w:proofErr w:type="spellStart"/>
      <w:r w:rsidRPr="004B2F56">
        <w:rPr>
          <w:rFonts w:cstheme="minorHAnsi"/>
        </w:rPr>
        <w:t>GHMSI’s</w:t>
      </w:r>
      <w:proofErr w:type="spellEnd"/>
      <w:r w:rsidRPr="004B2F56">
        <w:rPr>
          <w:rFonts w:cstheme="minorHAnsi"/>
        </w:rPr>
        <w:t xml:space="preserve"> activities”; and (3) the Commissioner “took as dispositive” </w:t>
      </w:r>
      <w:proofErr w:type="spellStart"/>
      <w:r w:rsidRPr="004B2F56">
        <w:rPr>
          <w:rFonts w:cstheme="minorHAnsi"/>
        </w:rPr>
        <w:t>GHMSI’s</w:t>
      </w:r>
      <w:proofErr w:type="spellEnd"/>
      <w:r w:rsidRPr="004B2F56">
        <w:rPr>
          <w:rFonts w:cstheme="minorHAnsi"/>
        </w:rPr>
        <w:t xml:space="preserve"> attribution </w:t>
      </w:r>
      <w:r w:rsidR="00773679" w:rsidRPr="004B2F56">
        <w:rPr>
          <w:rFonts w:cstheme="minorHAnsi"/>
        </w:rPr>
        <w:t xml:space="preserve">by jurisdiction </w:t>
      </w:r>
      <w:r w:rsidRPr="004B2F56">
        <w:rPr>
          <w:rFonts w:cstheme="minorHAnsi"/>
        </w:rPr>
        <w:t xml:space="preserve">of </w:t>
      </w:r>
      <w:proofErr w:type="spellStart"/>
      <w:r w:rsidRPr="004B2F56">
        <w:rPr>
          <w:rFonts w:cstheme="minorHAnsi"/>
        </w:rPr>
        <w:t>FEP</w:t>
      </w:r>
      <w:proofErr w:type="spellEnd"/>
      <w:r w:rsidRPr="004B2F56">
        <w:rPr>
          <w:rFonts w:cstheme="minorHAnsi"/>
        </w:rPr>
        <w:t xml:space="preserve"> premium revenue, even though that treatment “has varied over time” </w:t>
      </w:r>
      <w:r w:rsidR="00EC70E8" w:rsidRPr="004B2F56">
        <w:rPr>
          <w:rFonts w:cstheme="minorHAnsi"/>
        </w:rPr>
        <w:t xml:space="preserve">(shifting from situs to residence) </w:t>
      </w:r>
      <w:r w:rsidRPr="004B2F56">
        <w:rPr>
          <w:rFonts w:cstheme="minorHAnsi"/>
        </w:rPr>
        <w:t xml:space="preserve">and even though relying on </w:t>
      </w:r>
      <w:proofErr w:type="spellStart"/>
      <w:r w:rsidRPr="004B2F56">
        <w:rPr>
          <w:rFonts w:cstheme="minorHAnsi"/>
        </w:rPr>
        <w:t>GHMSI’s</w:t>
      </w:r>
      <w:proofErr w:type="spellEnd"/>
      <w:r w:rsidRPr="004B2F56">
        <w:rPr>
          <w:rFonts w:cstheme="minorHAnsi"/>
        </w:rPr>
        <w:t xml:space="preserve"> treatment “led the Commissioner to treat </w:t>
      </w:r>
      <w:proofErr w:type="spellStart"/>
      <w:r w:rsidRPr="004B2F56">
        <w:rPr>
          <w:rFonts w:cstheme="minorHAnsi"/>
        </w:rPr>
        <w:t>FEP</w:t>
      </w:r>
      <w:proofErr w:type="spellEnd"/>
      <w:r w:rsidRPr="004B2F56">
        <w:rPr>
          <w:rFonts w:cstheme="minorHAnsi"/>
        </w:rPr>
        <w:t xml:space="preserve"> policies differently from </w:t>
      </w:r>
      <w:proofErr w:type="spellStart"/>
      <w:r w:rsidRPr="004B2F56">
        <w:rPr>
          <w:rFonts w:cstheme="minorHAnsi"/>
        </w:rPr>
        <w:t>nonFEP</w:t>
      </w:r>
      <w:proofErr w:type="spellEnd"/>
      <w:r w:rsidRPr="004B2F56">
        <w:rPr>
          <w:rFonts w:cstheme="minorHAnsi"/>
        </w:rPr>
        <w:t xml:space="preserve"> policies</w:t>
      </w:r>
      <w:r w:rsidR="007B32B2">
        <w:rPr>
          <w:rFonts w:cstheme="minorHAnsi"/>
        </w:rPr>
        <w:t xml:space="preserve"> </w:t>
      </w:r>
      <w:r w:rsidRPr="004B2F56">
        <w:rPr>
          <w:rFonts w:cstheme="minorHAnsi"/>
        </w:rPr>
        <w:t>without providing a sufficient rationale for</w:t>
      </w:r>
      <w:r w:rsidR="00795CA5">
        <w:rPr>
          <w:rFonts w:cstheme="minorHAnsi"/>
        </w:rPr>
        <w:t xml:space="preserve"> such differential treatment.” </w:t>
      </w:r>
      <w:r w:rsidR="00795CA5">
        <w:rPr>
          <w:rFonts w:cstheme="minorHAnsi"/>
          <w:i/>
        </w:rPr>
        <w:t>Id.</w:t>
      </w:r>
      <w:r w:rsidR="00795CA5">
        <w:rPr>
          <w:rFonts w:cstheme="minorHAnsi"/>
        </w:rPr>
        <w:t xml:space="preserve"> </w:t>
      </w:r>
      <w:r w:rsidRPr="004B2F56">
        <w:rPr>
          <w:rFonts w:cstheme="minorHAnsi"/>
        </w:rPr>
        <w:t>The Court therefore “remand[</w:t>
      </w:r>
      <w:proofErr w:type="spellStart"/>
      <w:r w:rsidRPr="004B2F56">
        <w:rPr>
          <w:rFonts w:cstheme="minorHAnsi"/>
        </w:rPr>
        <w:t>ed</w:t>
      </w:r>
      <w:proofErr w:type="spellEnd"/>
      <w:r w:rsidRPr="004B2F56">
        <w:rPr>
          <w:rFonts w:cstheme="minorHAnsi"/>
        </w:rPr>
        <w:t xml:space="preserve">] for further consideration of these issues.” </w:t>
      </w:r>
      <w:r w:rsidRPr="004B2F56">
        <w:rPr>
          <w:rFonts w:cstheme="minorHAnsi"/>
          <w:i/>
        </w:rPr>
        <w:t>Id.</w:t>
      </w:r>
    </w:p>
    <w:p w:rsidR="005062F9" w:rsidRPr="004B2F56" w:rsidRDefault="00FF0536" w:rsidP="00B14007">
      <w:pPr>
        <w:pStyle w:val="Heading4"/>
        <w:keepNext/>
      </w:pPr>
      <w:r w:rsidRPr="004B2F56">
        <w:lastRenderedPageBreak/>
        <w:t>The Three Errors Underlying the Commission’s Flawed Application of its Attribution Principles</w:t>
      </w:r>
    </w:p>
    <w:p w:rsidR="005062F9" w:rsidRPr="004B2F56" w:rsidRDefault="005062F9" w:rsidP="00FE3CE0">
      <w:pPr>
        <w:spacing w:after="240"/>
        <w:ind w:firstLine="720"/>
        <w:jc w:val="both"/>
        <w:rPr>
          <w:rFonts w:cstheme="minorHAnsi"/>
        </w:rPr>
      </w:pPr>
      <w:r w:rsidRPr="004B2F56">
        <w:rPr>
          <w:rFonts w:cstheme="minorHAnsi"/>
        </w:rPr>
        <w:t xml:space="preserve">The Court identified essentially the same problems with the Commissioner’s decision that Appleseed raised both in its reconsideration motion before the Commissioner and in its briefs before the Court of Appeals. </w:t>
      </w:r>
    </w:p>
    <w:p w:rsidR="005062F9" w:rsidRPr="004B2F56" w:rsidRDefault="005062F9" w:rsidP="00FE3CE0">
      <w:pPr>
        <w:spacing w:after="240"/>
        <w:ind w:firstLine="720"/>
        <w:jc w:val="both"/>
        <w:rPr>
          <w:rFonts w:cstheme="minorHAnsi"/>
        </w:rPr>
      </w:pPr>
      <w:r w:rsidRPr="004B2F56">
        <w:rPr>
          <w:rFonts w:cstheme="minorHAnsi"/>
        </w:rPr>
        <w:t>First,</w:t>
      </w:r>
      <w:r w:rsidR="009003EB">
        <w:rPr>
          <w:rFonts w:cstheme="minorHAnsi"/>
        </w:rPr>
        <w:t xml:space="preserve"> </w:t>
      </w:r>
      <w:r w:rsidR="008E7F91">
        <w:rPr>
          <w:rFonts w:cstheme="minorHAnsi"/>
        </w:rPr>
        <w:t>Appleseed</w:t>
      </w:r>
      <w:r w:rsidRPr="004B2F56">
        <w:rPr>
          <w:rFonts w:cstheme="minorHAnsi"/>
        </w:rPr>
        <w:t xml:space="preserve"> demonstrated that basing </w:t>
      </w:r>
      <w:r w:rsidR="0086194E" w:rsidRPr="004B2F56">
        <w:rPr>
          <w:rFonts w:cstheme="minorHAnsi"/>
        </w:rPr>
        <w:t xml:space="preserve">the </w:t>
      </w:r>
      <w:r w:rsidRPr="004B2F56">
        <w:rPr>
          <w:rFonts w:cstheme="minorHAnsi"/>
        </w:rPr>
        <w:t xml:space="preserve">attribution </w:t>
      </w:r>
      <w:r w:rsidR="0086194E" w:rsidRPr="004B2F56">
        <w:rPr>
          <w:rFonts w:cstheme="minorHAnsi"/>
        </w:rPr>
        <w:t xml:space="preserve">determination </w:t>
      </w:r>
      <w:r w:rsidRPr="004B2F56">
        <w:rPr>
          <w:rFonts w:cstheme="minorHAnsi"/>
        </w:rPr>
        <w:t xml:space="preserve">solely on contributions to surplus in 2011, as the Commissioner did, would not fairly measure how much of the excess surplus as of the end of 2011 was attributable to each of the three jurisdictions. Rather, given that </w:t>
      </w:r>
      <w:proofErr w:type="spellStart"/>
      <w:r w:rsidRPr="004B2F56">
        <w:rPr>
          <w:rFonts w:cstheme="minorHAnsi"/>
        </w:rPr>
        <w:t>GHMSI’s</w:t>
      </w:r>
      <w:proofErr w:type="spellEnd"/>
      <w:r w:rsidRPr="004B2F56">
        <w:rPr>
          <w:rFonts w:cstheme="minorHAnsi"/>
        </w:rPr>
        <w:t xml:space="preserve"> maximum permissible surplus was 721% RBC, it was necessary to assess contributions to surplus beginning with the year when </w:t>
      </w:r>
      <w:proofErr w:type="spellStart"/>
      <w:r w:rsidRPr="004B2F56">
        <w:rPr>
          <w:rFonts w:cstheme="minorHAnsi"/>
        </w:rPr>
        <w:t>GHMSI’s</w:t>
      </w:r>
      <w:proofErr w:type="spellEnd"/>
      <w:r w:rsidRPr="004B2F56">
        <w:rPr>
          <w:rFonts w:cstheme="minorHAnsi"/>
        </w:rPr>
        <w:t xml:space="preserve"> surplus was last below 721% RBC in order to measure the source of the excess that led the surplus to rise to its impermissible level at the end of 2011 – i.e., to 998% RBC from 721</w:t>
      </w:r>
      <w:r w:rsidR="0086194E" w:rsidRPr="004B2F56">
        <w:rPr>
          <w:rFonts w:cstheme="minorHAnsi"/>
        </w:rPr>
        <w:t>%</w:t>
      </w:r>
      <w:r w:rsidRPr="004B2F56">
        <w:rPr>
          <w:rFonts w:cstheme="minorHAnsi"/>
        </w:rPr>
        <w:t xml:space="preserve"> RBC. As Appleseed stated, “the last time that </w:t>
      </w:r>
      <w:proofErr w:type="spellStart"/>
      <w:r w:rsidRPr="004B2F56">
        <w:rPr>
          <w:rFonts w:cstheme="minorHAnsi"/>
        </w:rPr>
        <w:t>GHMSI’s</w:t>
      </w:r>
      <w:proofErr w:type="spellEnd"/>
      <w:r w:rsidRPr="004B2F56">
        <w:rPr>
          <w:rFonts w:cstheme="minorHAnsi"/>
        </w:rPr>
        <w:t xml:space="preserve"> year-end surplus was below a 721% RBC ratio was at 12/31/2002. It follows then that all of the excess surplus above 721% RBC was generated in the 9-year period from 2003 to 2011.” </w:t>
      </w:r>
      <w:r w:rsidR="00D0141F">
        <w:rPr>
          <w:rFonts w:cstheme="minorHAnsi"/>
        </w:rPr>
        <w:t xml:space="preserve">Shaw Statement at </w:t>
      </w:r>
      <w:r w:rsidRPr="004B2F56">
        <w:rPr>
          <w:rFonts w:cstheme="minorHAnsi"/>
        </w:rPr>
        <w:t>4.</w:t>
      </w:r>
    </w:p>
    <w:p w:rsidR="005062F9" w:rsidRPr="004B2F56" w:rsidRDefault="005062F9" w:rsidP="00FE3CE0">
      <w:pPr>
        <w:spacing w:after="240"/>
        <w:ind w:firstLine="720"/>
        <w:jc w:val="both"/>
        <w:rPr>
          <w:rFonts w:cstheme="minorHAnsi"/>
        </w:rPr>
      </w:pPr>
      <w:r w:rsidRPr="004B2F56">
        <w:rPr>
          <w:rFonts w:cstheme="minorHAnsi"/>
        </w:rPr>
        <w:t xml:space="preserve">Second, while the Commissioner properly adjusted gross </w:t>
      </w:r>
      <w:proofErr w:type="spellStart"/>
      <w:r w:rsidRPr="004B2F56">
        <w:rPr>
          <w:rFonts w:cstheme="minorHAnsi"/>
        </w:rPr>
        <w:t>FEP</w:t>
      </w:r>
      <w:proofErr w:type="spellEnd"/>
      <w:r w:rsidRPr="004B2F56">
        <w:rPr>
          <w:rFonts w:cstheme="minorHAnsi"/>
        </w:rPr>
        <w:t xml:space="preserve"> and </w:t>
      </w:r>
      <w:proofErr w:type="spellStart"/>
      <w:r w:rsidRPr="004B2F56">
        <w:rPr>
          <w:rFonts w:cstheme="minorHAnsi"/>
        </w:rPr>
        <w:t>nonFEP</w:t>
      </w:r>
      <w:proofErr w:type="spellEnd"/>
      <w:r w:rsidRPr="004B2F56">
        <w:rPr>
          <w:rFonts w:cstheme="minorHAnsi"/>
        </w:rPr>
        <w:t xml:space="preserve"> revenue separately to account for the higher profitability of </w:t>
      </w:r>
      <w:proofErr w:type="spellStart"/>
      <w:r w:rsidRPr="004B2F56">
        <w:rPr>
          <w:rFonts w:cstheme="minorHAnsi"/>
        </w:rPr>
        <w:t>nonFEP</w:t>
      </w:r>
      <w:proofErr w:type="spellEnd"/>
      <w:r w:rsidRPr="004B2F56">
        <w:rPr>
          <w:rFonts w:cstheme="minorHAnsi"/>
        </w:rPr>
        <w:t xml:space="preserve"> revenue, he failed to adjust for differences in the profitability of </w:t>
      </w:r>
      <w:proofErr w:type="spellStart"/>
      <w:r w:rsidRPr="004B2F56">
        <w:rPr>
          <w:rFonts w:cstheme="minorHAnsi"/>
        </w:rPr>
        <w:t>nonFEP</w:t>
      </w:r>
      <w:proofErr w:type="spellEnd"/>
      <w:r w:rsidRPr="004B2F56">
        <w:rPr>
          <w:rFonts w:cstheme="minorHAnsi"/>
        </w:rPr>
        <w:t xml:space="preserve"> revenue among the three jurisdictions. Because the District’s </w:t>
      </w:r>
      <w:proofErr w:type="spellStart"/>
      <w:r w:rsidRPr="004B2F56">
        <w:rPr>
          <w:rFonts w:cstheme="minorHAnsi"/>
        </w:rPr>
        <w:t>nonFEP</w:t>
      </w:r>
      <w:proofErr w:type="spellEnd"/>
      <w:r w:rsidRPr="004B2F56">
        <w:rPr>
          <w:rFonts w:cstheme="minorHAnsi"/>
        </w:rPr>
        <w:t xml:space="preserve"> revenue was significantly more profitable than that in the other jurisdictions, this failure led to a significant understatement of </w:t>
      </w:r>
      <w:r w:rsidR="0086194E" w:rsidRPr="004B2F56">
        <w:rPr>
          <w:rFonts w:cstheme="minorHAnsi"/>
        </w:rPr>
        <w:t xml:space="preserve">excess </w:t>
      </w:r>
      <w:r w:rsidRPr="004B2F56">
        <w:rPr>
          <w:rFonts w:cstheme="minorHAnsi"/>
        </w:rPr>
        <w:t xml:space="preserve">surplus attributable to the District. Indeed, </w:t>
      </w:r>
      <w:proofErr w:type="spellStart"/>
      <w:r w:rsidRPr="004B2F56">
        <w:rPr>
          <w:rFonts w:cstheme="minorHAnsi"/>
        </w:rPr>
        <w:t>GHMSI’s</w:t>
      </w:r>
      <w:proofErr w:type="spellEnd"/>
      <w:r w:rsidRPr="004B2F56">
        <w:rPr>
          <w:rFonts w:cstheme="minorHAnsi"/>
        </w:rPr>
        <w:t xml:space="preserve"> financial statements make clear that while only about 30% of </w:t>
      </w:r>
      <w:proofErr w:type="spellStart"/>
      <w:r w:rsidRPr="004B2F56">
        <w:rPr>
          <w:rFonts w:cstheme="minorHAnsi"/>
        </w:rPr>
        <w:t>GHMSI</w:t>
      </w:r>
      <w:proofErr w:type="spellEnd"/>
      <w:r w:rsidRPr="004B2F56">
        <w:rPr>
          <w:rFonts w:cstheme="minorHAnsi"/>
        </w:rPr>
        <w:t xml:space="preserve"> </w:t>
      </w:r>
      <w:proofErr w:type="spellStart"/>
      <w:r w:rsidRPr="004B2F56">
        <w:rPr>
          <w:rFonts w:cstheme="minorHAnsi"/>
        </w:rPr>
        <w:t>nonFEP</w:t>
      </w:r>
      <w:proofErr w:type="spellEnd"/>
      <w:r w:rsidRPr="004B2F56">
        <w:rPr>
          <w:rFonts w:cstheme="minorHAnsi"/>
        </w:rPr>
        <w:t xml:space="preserve"> gross revenue was earned in the District during 2003-2011, more than 65% of </w:t>
      </w:r>
      <w:proofErr w:type="spellStart"/>
      <w:r w:rsidRPr="004B2F56">
        <w:rPr>
          <w:rFonts w:cstheme="minorHAnsi"/>
        </w:rPr>
        <w:t>GHMSI’s</w:t>
      </w:r>
      <w:proofErr w:type="spellEnd"/>
      <w:r w:rsidRPr="004B2F56">
        <w:rPr>
          <w:rFonts w:cstheme="minorHAnsi"/>
        </w:rPr>
        <w:t xml:space="preserve"> </w:t>
      </w:r>
      <w:proofErr w:type="spellStart"/>
      <w:r w:rsidRPr="004B2F56">
        <w:rPr>
          <w:rFonts w:cstheme="minorHAnsi"/>
        </w:rPr>
        <w:t>nonFEP</w:t>
      </w:r>
      <w:proofErr w:type="spellEnd"/>
      <w:r w:rsidRPr="004B2F56">
        <w:rPr>
          <w:rFonts w:cstheme="minorHAnsi"/>
        </w:rPr>
        <w:t xml:space="preserve"> </w:t>
      </w:r>
      <w:r w:rsidRPr="004B2F56">
        <w:rPr>
          <w:rFonts w:cstheme="minorHAnsi"/>
          <w:i/>
        </w:rPr>
        <w:t>profit</w:t>
      </w:r>
      <w:r w:rsidRPr="004B2F56">
        <w:rPr>
          <w:rFonts w:cstheme="minorHAnsi"/>
        </w:rPr>
        <w:t xml:space="preserve"> derived from the District during that period. </w:t>
      </w:r>
      <w:r w:rsidRPr="004B2F56">
        <w:rPr>
          <w:rFonts w:cstheme="minorHAnsi"/>
          <w:i/>
        </w:rPr>
        <w:t>Id</w:t>
      </w:r>
      <w:r w:rsidRPr="004B2F56">
        <w:rPr>
          <w:rFonts w:cstheme="minorHAnsi"/>
        </w:rPr>
        <w:t>., Shaw Statement</w:t>
      </w:r>
      <w:r w:rsidR="00D0141F">
        <w:rPr>
          <w:rFonts w:cstheme="minorHAnsi"/>
        </w:rPr>
        <w:t xml:space="preserve"> at</w:t>
      </w:r>
      <w:r w:rsidRPr="004B2F56">
        <w:rPr>
          <w:rFonts w:cstheme="minorHAnsi"/>
        </w:rPr>
        <w:t xml:space="preserve"> 3. </w:t>
      </w:r>
      <w:r w:rsidRPr="004B2F56">
        <w:rPr>
          <w:rFonts w:cstheme="minorHAnsi"/>
          <w:i/>
        </w:rPr>
        <w:t>See also</w:t>
      </w:r>
      <w:r w:rsidR="00D0141F">
        <w:rPr>
          <w:rFonts w:cstheme="minorHAnsi"/>
        </w:rPr>
        <w:t xml:space="preserve"> </w:t>
      </w:r>
      <w:proofErr w:type="spellStart"/>
      <w:r w:rsidR="00D0141F">
        <w:rPr>
          <w:rFonts w:cstheme="minorHAnsi"/>
        </w:rPr>
        <w:t>A</w:t>
      </w:r>
      <w:r w:rsidRPr="004B2F56">
        <w:rPr>
          <w:rFonts w:cstheme="minorHAnsi"/>
        </w:rPr>
        <w:t>1727</w:t>
      </w:r>
      <w:proofErr w:type="spellEnd"/>
      <w:r w:rsidRPr="004B2F56">
        <w:rPr>
          <w:rFonts w:cstheme="minorHAnsi"/>
        </w:rPr>
        <w:t>-28. Failure to adjust for the difference in profitability resulted in an incorrect answer to the Commissioner’s own overriding attribution question: “where did the money come from?” 2</w:t>
      </w:r>
      <w:r w:rsidR="00947196" w:rsidRPr="004B2F56">
        <w:rPr>
          <w:rFonts w:cstheme="minorHAnsi"/>
        </w:rPr>
        <w:t>014</w:t>
      </w:r>
      <w:r w:rsidRPr="004B2F56">
        <w:rPr>
          <w:rFonts w:cstheme="minorHAnsi"/>
        </w:rPr>
        <w:t xml:space="preserve"> Decision </w:t>
      </w:r>
      <w:r w:rsidR="00D0141F">
        <w:rPr>
          <w:rFonts w:cstheme="minorHAnsi"/>
        </w:rPr>
        <w:t>at</w:t>
      </w:r>
      <w:r w:rsidRPr="004B2F56">
        <w:rPr>
          <w:rFonts w:cstheme="minorHAnsi"/>
        </w:rPr>
        <w:t xml:space="preserve"> 53 (quoting </w:t>
      </w:r>
      <w:proofErr w:type="spellStart"/>
      <w:r w:rsidRPr="004B2F56">
        <w:rPr>
          <w:rFonts w:cstheme="minorHAnsi"/>
          <w:i/>
        </w:rPr>
        <w:t>Benedik</w:t>
      </w:r>
      <w:proofErr w:type="spellEnd"/>
      <w:r w:rsidRPr="004B2F56">
        <w:rPr>
          <w:rFonts w:cstheme="minorHAnsi"/>
          <w:i/>
        </w:rPr>
        <w:t xml:space="preserve"> v. Commissioner,</w:t>
      </w:r>
      <w:r w:rsidRPr="004B2F56">
        <w:rPr>
          <w:rFonts w:cstheme="minorHAnsi"/>
        </w:rPr>
        <w:t xml:space="preserve"> 429 </w:t>
      </w:r>
      <w:proofErr w:type="spellStart"/>
      <w:r w:rsidRPr="004B2F56">
        <w:rPr>
          <w:rFonts w:cstheme="minorHAnsi"/>
        </w:rPr>
        <w:t>F.2d</w:t>
      </w:r>
      <w:proofErr w:type="spellEnd"/>
      <w:r w:rsidRPr="004B2F56">
        <w:rPr>
          <w:rFonts w:cstheme="minorHAnsi"/>
        </w:rPr>
        <w:t xml:space="preserve"> 41, 43 (</w:t>
      </w:r>
      <w:proofErr w:type="spellStart"/>
      <w:r w:rsidRPr="004B2F56">
        <w:rPr>
          <w:rFonts w:cstheme="minorHAnsi"/>
        </w:rPr>
        <w:t>2d</w:t>
      </w:r>
      <w:proofErr w:type="spellEnd"/>
      <w:r w:rsidRPr="004B2F56">
        <w:rPr>
          <w:rFonts w:cstheme="minorHAnsi"/>
        </w:rPr>
        <w:t xml:space="preserve"> Cir. 1970)). Surplus comes from profits, but the Commissioner failed to account for how much profit came from the District. </w:t>
      </w:r>
    </w:p>
    <w:p w:rsidR="005062F9" w:rsidRPr="004B2F56" w:rsidRDefault="005062F9" w:rsidP="00FE3CE0">
      <w:pPr>
        <w:spacing w:after="240"/>
        <w:ind w:firstLine="720"/>
        <w:jc w:val="both"/>
        <w:rPr>
          <w:rFonts w:cstheme="minorHAnsi"/>
        </w:rPr>
      </w:pPr>
      <w:r w:rsidRPr="004B2F56">
        <w:rPr>
          <w:rFonts w:cstheme="minorHAnsi"/>
        </w:rPr>
        <w:t>Finally,</w:t>
      </w:r>
      <w:r w:rsidR="009003EB">
        <w:rPr>
          <w:rFonts w:cstheme="minorHAnsi"/>
        </w:rPr>
        <w:t xml:space="preserve"> </w:t>
      </w:r>
      <w:r w:rsidR="008E7F91">
        <w:rPr>
          <w:rFonts w:cstheme="minorHAnsi"/>
        </w:rPr>
        <w:t>Appleseed</w:t>
      </w:r>
      <w:r w:rsidRPr="004B2F56">
        <w:rPr>
          <w:rFonts w:cstheme="minorHAnsi"/>
        </w:rPr>
        <w:t xml:space="preserve"> explained that during nearly the whole of the period 2003-2011, </w:t>
      </w:r>
      <w:proofErr w:type="spellStart"/>
      <w:r w:rsidRPr="004B2F56">
        <w:rPr>
          <w:rFonts w:cstheme="minorHAnsi"/>
        </w:rPr>
        <w:t>GHMSI</w:t>
      </w:r>
      <w:proofErr w:type="spellEnd"/>
      <w:r w:rsidRPr="004B2F56">
        <w:rPr>
          <w:rFonts w:cstheme="minorHAnsi"/>
        </w:rPr>
        <w:t xml:space="preserve"> reported </w:t>
      </w:r>
      <w:proofErr w:type="spellStart"/>
      <w:r w:rsidRPr="004B2F56">
        <w:rPr>
          <w:rFonts w:cstheme="minorHAnsi"/>
        </w:rPr>
        <w:t>FEP</w:t>
      </w:r>
      <w:proofErr w:type="spellEnd"/>
      <w:r w:rsidRPr="004B2F56">
        <w:rPr>
          <w:rFonts w:cstheme="minorHAnsi"/>
        </w:rPr>
        <w:t xml:space="preserve"> revenue consistent with the Commissioner’s principle that revenues be attributed </w:t>
      </w:r>
      <w:r w:rsidR="0086194E" w:rsidRPr="004B2F56">
        <w:rPr>
          <w:rFonts w:cstheme="minorHAnsi"/>
        </w:rPr>
        <w:t xml:space="preserve">among the jurisdictions </w:t>
      </w:r>
      <w:r w:rsidRPr="004B2F56">
        <w:rPr>
          <w:rFonts w:cstheme="minorHAnsi"/>
        </w:rPr>
        <w:t xml:space="preserve">based on the situs of the contract leading to the revenue. However, in 2010 and 2011, for the first time and without explanation, </w:t>
      </w:r>
      <w:proofErr w:type="spellStart"/>
      <w:r w:rsidRPr="004B2F56">
        <w:rPr>
          <w:rFonts w:cstheme="minorHAnsi"/>
        </w:rPr>
        <w:t>GHMSI</w:t>
      </w:r>
      <w:proofErr w:type="spellEnd"/>
      <w:r w:rsidRPr="004B2F56">
        <w:rPr>
          <w:rFonts w:cstheme="minorHAnsi"/>
        </w:rPr>
        <w:t xml:space="preserve"> began attributing </w:t>
      </w:r>
      <w:proofErr w:type="spellStart"/>
      <w:r w:rsidRPr="004B2F56">
        <w:rPr>
          <w:rFonts w:cstheme="minorHAnsi"/>
        </w:rPr>
        <w:t>FEP</w:t>
      </w:r>
      <w:proofErr w:type="spellEnd"/>
      <w:r w:rsidRPr="004B2F56">
        <w:rPr>
          <w:rFonts w:cstheme="minorHAnsi"/>
        </w:rPr>
        <w:t xml:space="preserve"> revenue based on the residence of subscribers. This caused </w:t>
      </w:r>
      <w:proofErr w:type="spellStart"/>
      <w:r w:rsidR="0086194E" w:rsidRPr="004B2F56">
        <w:rPr>
          <w:rFonts w:cstheme="minorHAnsi"/>
        </w:rPr>
        <w:t>GHMSI</w:t>
      </w:r>
      <w:proofErr w:type="spellEnd"/>
      <w:r w:rsidR="0086194E" w:rsidRPr="004B2F56">
        <w:rPr>
          <w:rFonts w:cstheme="minorHAnsi"/>
        </w:rPr>
        <w:t xml:space="preserve"> </w:t>
      </w:r>
      <w:r w:rsidRPr="004B2F56">
        <w:rPr>
          <w:rFonts w:cstheme="minorHAnsi"/>
        </w:rPr>
        <w:t xml:space="preserve">to attribute a portion of </w:t>
      </w:r>
      <w:proofErr w:type="spellStart"/>
      <w:r w:rsidRPr="004B2F56">
        <w:rPr>
          <w:rFonts w:cstheme="minorHAnsi"/>
        </w:rPr>
        <w:t>FEP</w:t>
      </w:r>
      <w:proofErr w:type="spellEnd"/>
      <w:r w:rsidRPr="004B2F56">
        <w:rPr>
          <w:rFonts w:cstheme="minorHAnsi"/>
        </w:rPr>
        <w:t xml:space="preserve"> revenue to Maryland that had previously been attributed to the situs of the </w:t>
      </w:r>
      <w:proofErr w:type="spellStart"/>
      <w:r w:rsidRPr="004B2F56">
        <w:rPr>
          <w:rFonts w:cstheme="minorHAnsi"/>
        </w:rPr>
        <w:t>FEP</w:t>
      </w:r>
      <w:proofErr w:type="spellEnd"/>
      <w:r w:rsidRPr="004B2F56">
        <w:rPr>
          <w:rFonts w:cstheme="minorHAnsi"/>
        </w:rPr>
        <w:t xml:space="preserve"> contract, the District of Columbia. And to that same extent, this change caused an understatement of premium revenue attributable to the District. Notwithstanding that this change contradicted the Commissioner’s explicit rejection of residence as the appropriate method for attributing premium revenue</w:t>
      </w:r>
      <w:r w:rsidR="00A30FD4">
        <w:rPr>
          <w:rFonts w:cstheme="minorHAnsi"/>
        </w:rPr>
        <w:t>, 2014 Decision</w:t>
      </w:r>
      <w:r w:rsidR="007B32B2">
        <w:rPr>
          <w:rFonts w:cstheme="minorHAnsi"/>
        </w:rPr>
        <w:t xml:space="preserve"> at</w:t>
      </w:r>
      <w:r w:rsidR="00A30FD4">
        <w:rPr>
          <w:rFonts w:cstheme="minorHAnsi"/>
        </w:rPr>
        <w:t xml:space="preserve"> 52–53</w:t>
      </w:r>
      <w:r w:rsidRPr="004B2F56">
        <w:rPr>
          <w:rFonts w:cstheme="minorHAnsi"/>
        </w:rPr>
        <w:t xml:space="preserve">, the Commissioner approved it on the ground that </w:t>
      </w:r>
      <w:proofErr w:type="spellStart"/>
      <w:r w:rsidRPr="004B2F56">
        <w:rPr>
          <w:rFonts w:cstheme="minorHAnsi"/>
        </w:rPr>
        <w:t>GHMSI</w:t>
      </w:r>
      <w:proofErr w:type="spellEnd"/>
      <w:r w:rsidRPr="004B2F56">
        <w:rPr>
          <w:rFonts w:cstheme="minorHAnsi"/>
        </w:rPr>
        <w:t xml:space="preserve"> “should be bound” by how it reported the revenue. </w:t>
      </w:r>
      <w:r w:rsidR="00A30FD4">
        <w:rPr>
          <w:rFonts w:cstheme="minorHAnsi"/>
          <w:i/>
        </w:rPr>
        <w:t>Id.</w:t>
      </w:r>
      <w:r w:rsidR="00A30FD4">
        <w:rPr>
          <w:rFonts w:cstheme="minorHAnsi"/>
        </w:rPr>
        <w:t xml:space="preserve"> at </w:t>
      </w:r>
      <w:r w:rsidRPr="004B2F56">
        <w:rPr>
          <w:rFonts w:cstheme="minorHAnsi"/>
        </w:rPr>
        <w:t xml:space="preserve">54 </w:t>
      </w:r>
      <w:proofErr w:type="spellStart"/>
      <w:r w:rsidRPr="004B2F56">
        <w:rPr>
          <w:rFonts w:cstheme="minorHAnsi"/>
        </w:rPr>
        <w:t>n.</w:t>
      </w:r>
      <w:r w:rsidR="00A30FD4">
        <w:rPr>
          <w:rFonts w:cstheme="minorHAnsi"/>
        </w:rPr>
        <w:t>30</w:t>
      </w:r>
      <w:proofErr w:type="spellEnd"/>
      <w:r w:rsidRPr="004B2F56">
        <w:rPr>
          <w:rFonts w:cstheme="minorHAnsi"/>
        </w:rPr>
        <w:t>.</w:t>
      </w:r>
      <w:r w:rsidR="009003EB">
        <w:rPr>
          <w:rFonts w:cstheme="minorHAnsi"/>
        </w:rPr>
        <w:t xml:space="preserve"> </w:t>
      </w:r>
      <w:r w:rsidR="008E7F91">
        <w:rPr>
          <w:rFonts w:cstheme="minorHAnsi"/>
        </w:rPr>
        <w:t>Appleseed</w:t>
      </w:r>
      <w:r w:rsidR="00811950" w:rsidRPr="004B2F56">
        <w:rPr>
          <w:rFonts w:cstheme="minorHAnsi"/>
        </w:rPr>
        <w:t xml:space="preserve"> argued that this view had it backward: </w:t>
      </w:r>
      <w:proofErr w:type="spellStart"/>
      <w:r w:rsidR="00811950" w:rsidRPr="004B2F56">
        <w:rPr>
          <w:rFonts w:cstheme="minorHAnsi"/>
        </w:rPr>
        <w:t>GHMSI’s</w:t>
      </w:r>
      <w:proofErr w:type="spellEnd"/>
      <w:r w:rsidR="00811950" w:rsidRPr="004B2F56">
        <w:rPr>
          <w:rFonts w:cstheme="minorHAnsi"/>
        </w:rPr>
        <w:t xml:space="preserve"> regulatory filings </w:t>
      </w:r>
      <w:r w:rsidR="0086194E" w:rsidRPr="004B2F56">
        <w:rPr>
          <w:rFonts w:cstheme="minorHAnsi"/>
        </w:rPr>
        <w:t xml:space="preserve">must </w:t>
      </w:r>
      <w:r w:rsidR="00811950" w:rsidRPr="004B2F56">
        <w:rPr>
          <w:rFonts w:cstheme="minorHAnsi"/>
        </w:rPr>
        <w:t xml:space="preserve">comply with </w:t>
      </w:r>
      <w:proofErr w:type="spellStart"/>
      <w:r w:rsidR="00811950" w:rsidRPr="004B2F56">
        <w:rPr>
          <w:rFonts w:cstheme="minorHAnsi"/>
        </w:rPr>
        <w:t>MIEAA</w:t>
      </w:r>
      <w:proofErr w:type="spellEnd"/>
      <w:r w:rsidR="00811950" w:rsidRPr="004B2F56">
        <w:rPr>
          <w:rFonts w:cstheme="minorHAnsi"/>
        </w:rPr>
        <w:t xml:space="preserve">; </w:t>
      </w:r>
      <w:proofErr w:type="spellStart"/>
      <w:r w:rsidR="00811950" w:rsidRPr="004B2F56">
        <w:rPr>
          <w:rFonts w:cstheme="minorHAnsi"/>
        </w:rPr>
        <w:t>MIEAA</w:t>
      </w:r>
      <w:proofErr w:type="spellEnd"/>
      <w:r w:rsidR="00811950" w:rsidRPr="004B2F56">
        <w:rPr>
          <w:rFonts w:cstheme="minorHAnsi"/>
        </w:rPr>
        <w:t xml:space="preserve"> is not subordinate to </w:t>
      </w:r>
      <w:proofErr w:type="spellStart"/>
      <w:r w:rsidR="00811950" w:rsidRPr="004B2F56">
        <w:rPr>
          <w:rFonts w:cstheme="minorHAnsi"/>
        </w:rPr>
        <w:t>GHMSI’s</w:t>
      </w:r>
      <w:proofErr w:type="spellEnd"/>
      <w:r w:rsidR="00811950" w:rsidRPr="004B2F56">
        <w:rPr>
          <w:rFonts w:cstheme="minorHAnsi"/>
        </w:rPr>
        <w:t xml:space="preserve"> </w:t>
      </w:r>
      <w:r w:rsidR="00CC2F84" w:rsidRPr="004B2F56">
        <w:rPr>
          <w:rFonts w:cstheme="minorHAnsi"/>
        </w:rPr>
        <w:t xml:space="preserve">choices in its </w:t>
      </w:r>
      <w:r w:rsidR="00811950" w:rsidRPr="004B2F56">
        <w:rPr>
          <w:rFonts w:cstheme="minorHAnsi"/>
        </w:rPr>
        <w:t>regulatory filings</w:t>
      </w:r>
      <w:r w:rsidR="00CC2F84" w:rsidRPr="004B2F56">
        <w:rPr>
          <w:rFonts w:cstheme="minorHAnsi"/>
        </w:rPr>
        <w:t>, particularly when those choices reverse its longstanding prior practice</w:t>
      </w:r>
      <w:r w:rsidR="00811950" w:rsidRPr="004B2F56">
        <w:rPr>
          <w:rFonts w:cstheme="minorHAnsi"/>
        </w:rPr>
        <w:t>.</w:t>
      </w:r>
      <w:r w:rsidR="007D4667">
        <w:rPr>
          <w:rFonts w:cstheme="minorHAnsi"/>
        </w:rPr>
        <w:t xml:space="preserve"> </w:t>
      </w:r>
      <w:r w:rsidR="0086194E" w:rsidRPr="004B2F56">
        <w:rPr>
          <w:rFonts w:cstheme="minorHAnsi"/>
        </w:rPr>
        <w:t>T</w:t>
      </w:r>
      <w:r w:rsidRPr="004B2F56">
        <w:rPr>
          <w:rFonts w:cstheme="minorHAnsi"/>
        </w:rPr>
        <w:t xml:space="preserve">he Court </w:t>
      </w:r>
      <w:r w:rsidR="0086194E" w:rsidRPr="004B2F56">
        <w:rPr>
          <w:rFonts w:cstheme="minorHAnsi"/>
        </w:rPr>
        <w:t xml:space="preserve">of Appeals </w:t>
      </w:r>
      <w:r w:rsidR="00A30FD4">
        <w:rPr>
          <w:rFonts w:cstheme="minorHAnsi"/>
        </w:rPr>
        <w:t xml:space="preserve">determined that </w:t>
      </w:r>
      <w:r w:rsidRPr="004B2F56">
        <w:rPr>
          <w:rFonts w:cstheme="minorHAnsi"/>
        </w:rPr>
        <w:t>th</w:t>
      </w:r>
      <w:r w:rsidR="00CC2F84" w:rsidRPr="004B2F56">
        <w:rPr>
          <w:rFonts w:cstheme="minorHAnsi"/>
        </w:rPr>
        <w:t xml:space="preserve">e Commissioner’s acceptance of </w:t>
      </w:r>
      <w:proofErr w:type="spellStart"/>
      <w:r w:rsidR="00CC2F84" w:rsidRPr="004B2F56">
        <w:rPr>
          <w:rFonts w:cstheme="minorHAnsi"/>
        </w:rPr>
        <w:t>GHMSI’s</w:t>
      </w:r>
      <w:proofErr w:type="spellEnd"/>
      <w:r w:rsidR="00CC2F84" w:rsidRPr="004B2F56">
        <w:rPr>
          <w:rFonts w:cstheme="minorHAnsi"/>
        </w:rPr>
        <w:t xml:space="preserve"> regulatory filing</w:t>
      </w:r>
      <w:r w:rsidR="007D4667">
        <w:rPr>
          <w:rFonts w:cstheme="minorHAnsi"/>
        </w:rPr>
        <w:t xml:space="preserve"> </w:t>
      </w:r>
      <w:r w:rsidRPr="004B2F56">
        <w:rPr>
          <w:rFonts w:cstheme="minorHAnsi"/>
        </w:rPr>
        <w:t xml:space="preserve">is not a “sufficient rationale” for this inconsistent </w:t>
      </w:r>
      <w:r w:rsidRPr="004B2F56">
        <w:rPr>
          <w:rFonts w:cstheme="minorHAnsi"/>
        </w:rPr>
        <w:lastRenderedPageBreak/>
        <w:t>treatment</w:t>
      </w:r>
      <w:r w:rsidR="00FB0318" w:rsidRPr="004B2F56">
        <w:rPr>
          <w:rFonts w:cstheme="minorHAnsi"/>
        </w:rPr>
        <w:t xml:space="preserve"> of </w:t>
      </w:r>
      <w:r w:rsidR="00CC2F84" w:rsidRPr="004B2F56">
        <w:rPr>
          <w:rFonts w:cstheme="minorHAnsi"/>
        </w:rPr>
        <w:t>situs versus residence</w:t>
      </w:r>
      <w:r w:rsidR="00EC70E8" w:rsidRPr="004B2F56">
        <w:rPr>
          <w:rFonts w:cstheme="minorHAnsi"/>
        </w:rPr>
        <w:t xml:space="preserve"> as between </w:t>
      </w:r>
      <w:proofErr w:type="spellStart"/>
      <w:r w:rsidR="00EC70E8" w:rsidRPr="004B2F56">
        <w:rPr>
          <w:rFonts w:cstheme="minorHAnsi"/>
        </w:rPr>
        <w:t>FEP</w:t>
      </w:r>
      <w:proofErr w:type="spellEnd"/>
      <w:r w:rsidR="00EC70E8" w:rsidRPr="004B2F56">
        <w:rPr>
          <w:rFonts w:cstheme="minorHAnsi"/>
        </w:rPr>
        <w:t xml:space="preserve"> and </w:t>
      </w:r>
      <w:proofErr w:type="spellStart"/>
      <w:r w:rsidR="00EC70E8" w:rsidRPr="004B2F56">
        <w:rPr>
          <w:rFonts w:cstheme="minorHAnsi"/>
        </w:rPr>
        <w:t>nonFEP</w:t>
      </w:r>
      <w:proofErr w:type="spellEnd"/>
      <w:r w:rsidRPr="004B2F56">
        <w:rPr>
          <w:rFonts w:cstheme="minorHAnsi"/>
        </w:rPr>
        <w:t>.</w:t>
      </w:r>
      <w:r w:rsidR="00A30FD4">
        <w:rPr>
          <w:rFonts w:cstheme="minorHAnsi"/>
        </w:rPr>
        <w:t xml:space="preserve"> </w:t>
      </w:r>
      <w:r w:rsidR="00A30FD4" w:rsidRPr="004B2F56">
        <w:rPr>
          <w:rFonts w:cstheme="minorHAnsi"/>
          <w:i/>
        </w:rPr>
        <w:t>D.C. Appleseed</w:t>
      </w:r>
      <w:r w:rsidR="00A30FD4" w:rsidRPr="004B2F56">
        <w:rPr>
          <w:rFonts w:cstheme="minorHAnsi"/>
        </w:rPr>
        <w:t xml:space="preserve">, 214 </w:t>
      </w:r>
      <w:proofErr w:type="spellStart"/>
      <w:r w:rsidR="00A30FD4" w:rsidRPr="004B2F56">
        <w:rPr>
          <w:rFonts w:cstheme="minorHAnsi"/>
        </w:rPr>
        <w:t>A.3d</w:t>
      </w:r>
      <w:proofErr w:type="spellEnd"/>
      <w:r w:rsidR="00A30FD4" w:rsidRPr="004B2F56">
        <w:rPr>
          <w:rFonts w:cstheme="minorHAnsi"/>
        </w:rPr>
        <w:t xml:space="preserve"> at 99</w:t>
      </w:r>
      <w:r w:rsidR="00A30FD4">
        <w:rPr>
          <w:rFonts w:cstheme="minorHAnsi"/>
        </w:rPr>
        <w:t>5.</w:t>
      </w:r>
      <w:r w:rsidRPr="004B2F56">
        <w:rPr>
          <w:rFonts w:cstheme="minorHAnsi"/>
        </w:rPr>
        <w:t xml:space="preserve"> </w:t>
      </w:r>
      <w:r w:rsidR="007A4579" w:rsidRPr="004B2F56">
        <w:rPr>
          <w:rFonts w:cstheme="minorHAnsi"/>
        </w:rPr>
        <w:t xml:space="preserve">Rather, </w:t>
      </w:r>
      <w:proofErr w:type="spellStart"/>
      <w:r w:rsidRPr="004B2F56">
        <w:rPr>
          <w:rFonts w:cstheme="minorHAnsi"/>
        </w:rPr>
        <w:t>GHMSI</w:t>
      </w:r>
      <w:proofErr w:type="spellEnd"/>
      <w:r w:rsidRPr="004B2F56">
        <w:rPr>
          <w:rFonts w:cstheme="minorHAnsi"/>
        </w:rPr>
        <w:t xml:space="preserve"> should be bound by the Commissioner’s assessment of </w:t>
      </w:r>
      <w:proofErr w:type="spellStart"/>
      <w:r w:rsidRPr="004B2F56">
        <w:rPr>
          <w:rFonts w:cstheme="minorHAnsi"/>
        </w:rPr>
        <w:t>MIEAA</w:t>
      </w:r>
      <w:proofErr w:type="spellEnd"/>
      <w:r w:rsidRPr="004B2F56">
        <w:rPr>
          <w:rFonts w:cstheme="minorHAnsi"/>
        </w:rPr>
        <w:t xml:space="preserve">, i.e., that situs of the contract controls. </w:t>
      </w:r>
    </w:p>
    <w:p w:rsidR="005062F9" w:rsidRPr="004B2F56" w:rsidRDefault="005062F9" w:rsidP="00B14007">
      <w:pPr>
        <w:pStyle w:val="Heading4"/>
        <w:keepNext/>
      </w:pPr>
      <w:r w:rsidRPr="004B2F56">
        <w:t xml:space="preserve">Correcting the Commissioner’s Attribution to Account </w:t>
      </w:r>
      <w:r w:rsidR="00B93E92" w:rsidRPr="004B2F56">
        <w:t>for the</w:t>
      </w:r>
      <w:r w:rsidRPr="004B2F56">
        <w:t xml:space="preserve"> Three Identified Errors</w:t>
      </w:r>
    </w:p>
    <w:p w:rsidR="005062F9" w:rsidRPr="004B2F56" w:rsidRDefault="005062F9" w:rsidP="00FE3CE0">
      <w:pPr>
        <w:spacing w:after="240"/>
        <w:ind w:firstLine="720"/>
        <w:jc w:val="both"/>
        <w:rPr>
          <w:rFonts w:cstheme="minorHAnsi"/>
        </w:rPr>
      </w:pPr>
      <w:r w:rsidRPr="004B2F56">
        <w:rPr>
          <w:rFonts w:cstheme="minorHAnsi"/>
        </w:rPr>
        <w:t>To correct for the</w:t>
      </w:r>
      <w:r w:rsidR="00947196" w:rsidRPr="004B2F56">
        <w:rPr>
          <w:rFonts w:cstheme="minorHAnsi"/>
        </w:rPr>
        <w:t xml:space="preserve"> prior</w:t>
      </w:r>
      <w:r w:rsidRPr="004B2F56">
        <w:rPr>
          <w:rFonts w:cstheme="minorHAnsi"/>
        </w:rPr>
        <w:t xml:space="preserve"> Commissioner’s three attribution errors, the Commissioner </w:t>
      </w:r>
      <w:r w:rsidR="00947196" w:rsidRPr="004B2F56">
        <w:rPr>
          <w:rFonts w:cstheme="minorHAnsi"/>
        </w:rPr>
        <w:t>should now</w:t>
      </w:r>
      <w:r w:rsidRPr="004B2F56">
        <w:rPr>
          <w:rFonts w:cstheme="minorHAnsi"/>
        </w:rPr>
        <w:t>: (1</w:t>
      </w:r>
      <w:r w:rsidR="00B93E92" w:rsidRPr="004B2F56">
        <w:rPr>
          <w:rFonts w:cstheme="minorHAnsi"/>
        </w:rPr>
        <w:t>) take</w:t>
      </w:r>
      <w:r w:rsidRPr="004B2F56">
        <w:rPr>
          <w:rFonts w:cstheme="minorHAnsi"/>
        </w:rPr>
        <w:t xml:space="preserve"> into account contributions to </w:t>
      </w:r>
      <w:r w:rsidR="007A4579" w:rsidRPr="004B2F56">
        <w:rPr>
          <w:rFonts w:cstheme="minorHAnsi"/>
        </w:rPr>
        <w:t xml:space="preserve">excess </w:t>
      </w:r>
      <w:r w:rsidRPr="004B2F56">
        <w:rPr>
          <w:rFonts w:cstheme="minorHAnsi"/>
        </w:rPr>
        <w:t>surplus from the years 2003</w:t>
      </w:r>
      <w:r w:rsidR="00A30FD4">
        <w:rPr>
          <w:rFonts w:cstheme="minorHAnsi"/>
        </w:rPr>
        <w:t xml:space="preserve"> through </w:t>
      </w:r>
      <w:r w:rsidRPr="004B2F56">
        <w:rPr>
          <w:rFonts w:cstheme="minorHAnsi"/>
        </w:rPr>
        <w:t xml:space="preserve">2011, not just from 2011; (2) measure profitability of </w:t>
      </w:r>
      <w:proofErr w:type="spellStart"/>
      <w:r w:rsidRPr="004B2F56">
        <w:rPr>
          <w:rFonts w:cstheme="minorHAnsi"/>
        </w:rPr>
        <w:t>nonFEP</w:t>
      </w:r>
      <w:proofErr w:type="spellEnd"/>
      <w:r w:rsidRPr="004B2F56">
        <w:rPr>
          <w:rFonts w:cstheme="minorHAnsi"/>
        </w:rPr>
        <w:t xml:space="preserve"> revenue during those years by jurisdiction to determine how much </w:t>
      </w:r>
      <w:proofErr w:type="spellStart"/>
      <w:r w:rsidRPr="004B2F56">
        <w:rPr>
          <w:rFonts w:cstheme="minorHAnsi"/>
        </w:rPr>
        <w:t>nonFEP</w:t>
      </w:r>
      <w:proofErr w:type="spellEnd"/>
      <w:r w:rsidRPr="004B2F56">
        <w:rPr>
          <w:rFonts w:cstheme="minorHAnsi"/>
        </w:rPr>
        <w:t xml:space="preserve"> revenues in each jurisdiction actually contributed to </w:t>
      </w:r>
      <w:proofErr w:type="spellStart"/>
      <w:r w:rsidRPr="004B2F56">
        <w:rPr>
          <w:rFonts w:cstheme="minorHAnsi"/>
        </w:rPr>
        <w:t>GHMSI’s</w:t>
      </w:r>
      <w:proofErr w:type="spellEnd"/>
      <w:r w:rsidRPr="004B2F56">
        <w:rPr>
          <w:rFonts w:cstheme="minorHAnsi"/>
        </w:rPr>
        <w:t xml:space="preserve"> surplus; and (3) attribute </w:t>
      </w:r>
      <w:proofErr w:type="spellStart"/>
      <w:r w:rsidRPr="004B2F56">
        <w:rPr>
          <w:rFonts w:cstheme="minorHAnsi"/>
        </w:rPr>
        <w:t>FEP</w:t>
      </w:r>
      <w:proofErr w:type="spellEnd"/>
      <w:r w:rsidRPr="004B2F56">
        <w:rPr>
          <w:rFonts w:cstheme="minorHAnsi"/>
        </w:rPr>
        <w:t xml:space="preserve"> revenue during those years </w:t>
      </w:r>
      <w:r w:rsidR="007A4579" w:rsidRPr="004B2F56">
        <w:rPr>
          <w:rFonts w:cstheme="minorHAnsi"/>
        </w:rPr>
        <w:t xml:space="preserve">among jurisdictions </w:t>
      </w:r>
      <w:r w:rsidRPr="004B2F56">
        <w:rPr>
          <w:rFonts w:cstheme="minorHAnsi"/>
        </w:rPr>
        <w:t xml:space="preserve">according to the situs of the contract. </w:t>
      </w:r>
      <w:r w:rsidR="009A5602">
        <w:rPr>
          <w:rFonts w:cstheme="minorHAnsi"/>
        </w:rPr>
        <w:t>As Appleseed showed, t</w:t>
      </w:r>
      <w:r w:rsidRPr="004B2F56">
        <w:rPr>
          <w:rFonts w:cstheme="minorHAnsi"/>
        </w:rPr>
        <w:t>hese three changes</w:t>
      </w:r>
      <w:r w:rsidR="00BE4944" w:rsidRPr="004B2F56">
        <w:rPr>
          <w:rFonts w:cstheme="minorHAnsi"/>
        </w:rPr>
        <w:t xml:space="preserve"> – </w:t>
      </w:r>
      <w:r w:rsidRPr="004B2F56">
        <w:rPr>
          <w:rFonts w:cstheme="minorHAnsi"/>
        </w:rPr>
        <w:t xml:space="preserve">all consistent with the Commissioner’s announced principles and with the Court of Appeals’ </w:t>
      </w:r>
      <w:r w:rsidR="007A4579" w:rsidRPr="004B2F56">
        <w:rPr>
          <w:rFonts w:cstheme="minorHAnsi"/>
        </w:rPr>
        <w:t>analysis</w:t>
      </w:r>
      <w:r w:rsidR="00BE4944" w:rsidRPr="004B2F56">
        <w:rPr>
          <w:rFonts w:cstheme="minorHAnsi"/>
        </w:rPr>
        <w:t xml:space="preserve"> – </w:t>
      </w:r>
      <w:r w:rsidRPr="004B2F56">
        <w:rPr>
          <w:rFonts w:cstheme="minorHAnsi"/>
        </w:rPr>
        <w:t xml:space="preserve">result in an appropriate attribution of excess surplus to the District at the end of 2011 of 58.3%. </w:t>
      </w:r>
      <w:proofErr w:type="spellStart"/>
      <w:r w:rsidRPr="004B2F56">
        <w:rPr>
          <w:rFonts w:cstheme="minorHAnsi"/>
        </w:rPr>
        <w:t>A1732</w:t>
      </w:r>
      <w:proofErr w:type="spellEnd"/>
      <w:r w:rsidRPr="004B2F56">
        <w:rPr>
          <w:rFonts w:cstheme="minorHAnsi"/>
        </w:rPr>
        <w:t>.</w:t>
      </w:r>
      <w:r w:rsidRPr="004B2F56">
        <w:rPr>
          <w:rStyle w:val="FootnoteReference"/>
          <w:rFonts w:cstheme="minorHAnsi"/>
        </w:rPr>
        <w:footnoteReference w:id="9"/>
      </w:r>
      <w:r w:rsidRPr="004B2F56">
        <w:rPr>
          <w:rFonts w:cstheme="minorHAnsi"/>
        </w:rPr>
        <w:t xml:space="preserve"> </w:t>
      </w:r>
    </w:p>
    <w:p w:rsidR="005062F9" w:rsidRPr="004B2F56" w:rsidRDefault="005062F9" w:rsidP="00FE3CE0">
      <w:pPr>
        <w:spacing w:after="240"/>
        <w:ind w:firstLine="720"/>
        <w:jc w:val="both"/>
        <w:rPr>
          <w:rFonts w:cstheme="minorHAnsi"/>
        </w:rPr>
      </w:pPr>
      <w:r w:rsidRPr="004B2F56">
        <w:rPr>
          <w:rFonts w:cstheme="minorHAnsi"/>
        </w:rPr>
        <w:t xml:space="preserve">As previously explained, correcting the Commissioner’s errors on </w:t>
      </w:r>
      <w:proofErr w:type="spellStart"/>
      <w:r w:rsidRPr="004B2F56">
        <w:rPr>
          <w:rFonts w:cstheme="minorHAnsi"/>
        </w:rPr>
        <w:t>GHMSI’s</w:t>
      </w:r>
      <w:proofErr w:type="spellEnd"/>
      <w:r w:rsidRPr="004B2F56">
        <w:rPr>
          <w:rFonts w:cstheme="minorHAnsi"/>
        </w:rPr>
        <w:t xml:space="preserve"> equity portfolio increases </w:t>
      </w:r>
      <w:proofErr w:type="spellStart"/>
      <w:r w:rsidRPr="004B2F56">
        <w:rPr>
          <w:rFonts w:cstheme="minorHAnsi"/>
        </w:rPr>
        <w:t>GHMSI’s</w:t>
      </w:r>
      <w:proofErr w:type="spellEnd"/>
      <w:r w:rsidRPr="004B2F56">
        <w:rPr>
          <w:rFonts w:cstheme="minorHAnsi"/>
        </w:rPr>
        <w:t xml:space="preserve"> excess surplus at the end of 2011 to $381.3 million.</w:t>
      </w:r>
      <w:r w:rsidR="007D4667">
        <w:rPr>
          <w:rFonts w:cstheme="minorHAnsi"/>
        </w:rPr>
        <w:t xml:space="preserve"> </w:t>
      </w:r>
      <w:r w:rsidRPr="004B2F56">
        <w:rPr>
          <w:rFonts w:cstheme="minorHAnsi"/>
        </w:rPr>
        <w:t xml:space="preserve">Multiplying this total </w:t>
      </w:r>
      <w:proofErr w:type="spellStart"/>
      <w:r w:rsidRPr="004B2F56">
        <w:rPr>
          <w:rFonts w:cstheme="minorHAnsi"/>
        </w:rPr>
        <w:t>GHMSI</w:t>
      </w:r>
      <w:proofErr w:type="spellEnd"/>
      <w:r w:rsidRPr="004B2F56">
        <w:rPr>
          <w:rFonts w:cstheme="minorHAnsi"/>
        </w:rPr>
        <w:t xml:space="preserve"> excess </w:t>
      </w:r>
      <w:r w:rsidR="007A4579" w:rsidRPr="004B2F56">
        <w:rPr>
          <w:rFonts w:cstheme="minorHAnsi"/>
        </w:rPr>
        <w:t xml:space="preserve">surplus </w:t>
      </w:r>
      <w:r w:rsidRPr="004B2F56">
        <w:rPr>
          <w:rFonts w:cstheme="minorHAnsi"/>
        </w:rPr>
        <w:t xml:space="preserve">by the 58.3% attributable to the District means that the amount owed </w:t>
      </w:r>
      <w:r w:rsidR="007A4579" w:rsidRPr="004B2F56">
        <w:rPr>
          <w:rFonts w:cstheme="minorHAnsi"/>
        </w:rPr>
        <w:t xml:space="preserve">for community reinvestment </w:t>
      </w:r>
      <w:r w:rsidR="00F813E7" w:rsidRPr="004B2F56">
        <w:rPr>
          <w:rFonts w:cstheme="minorHAnsi"/>
        </w:rPr>
        <w:t xml:space="preserve">for </w:t>
      </w:r>
      <w:r w:rsidR="007A4579" w:rsidRPr="004B2F56">
        <w:rPr>
          <w:rFonts w:cstheme="minorHAnsi"/>
        </w:rPr>
        <w:t xml:space="preserve">public health in the </w:t>
      </w:r>
      <w:r w:rsidRPr="004B2F56">
        <w:rPr>
          <w:rFonts w:cstheme="minorHAnsi"/>
        </w:rPr>
        <w:t xml:space="preserve">District (before interest) is $222.3 million. </w:t>
      </w:r>
    </w:p>
    <w:p w:rsidR="005062F9" w:rsidRPr="004B2F56" w:rsidRDefault="005062F9" w:rsidP="00FE3CE0">
      <w:pPr>
        <w:spacing w:after="240"/>
        <w:ind w:firstLine="720"/>
        <w:jc w:val="both"/>
        <w:rPr>
          <w:rFonts w:cstheme="minorHAnsi"/>
        </w:rPr>
      </w:pPr>
      <w:r w:rsidRPr="004B2F56">
        <w:rPr>
          <w:rFonts w:cstheme="minorHAnsi"/>
        </w:rPr>
        <w:t xml:space="preserve">When appropriate interest is added to this amount, </w:t>
      </w:r>
      <w:r w:rsidRPr="004B2F56">
        <w:rPr>
          <w:rFonts w:cstheme="minorHAnsi"/>
          <w:i/>
        </w:rPr>
        <w:t>see infra</w:t>
      </w:r>
      <w:r w:rsidRPr="004B2F56">
        <w:rPr>
          <w:rFonts w:cstheme="minorHAnsi"/>
        </w:rPr>
        <w:t xml:space="preserve"> Section </w:t>
      </w:r>
      <w:r w:rsidR="00947196" w:rsidRPr="004B2F56">
        <w:rPr>
          <w:rFonts w:cstheme="minorHAnsi"/>
        </w:rPr>
        <w:t>3</w:t>
      </w:r>
      <w:r w:rsidRPr="004B2F56">
        <w:rPr>
          <w:rFonts w:cstheme="minorHAnsi"/>
        </w:rPr>
        <w:t>, the total amount is $313.44 million (based on interest running through June 2020).</w:t>
      </w:r>
    </w:p>
    <w:p w:rsidR="005062F9" w:rsidRPr="006C1B45" w:rsidRDefault="005062F9" w:rsidP="00B14007">
      <w:pPr>
        <w:pStyle w:val="Heading3"/>
        <w:numPr>
          <w:ilvl w:val="2"/>
          <w:numId w:val="43"/>
        </w:numPr>
      </w:pPr>
      <w:bookmarkStart w:id="10" w:name="_Toc40193616"/>
      <w:r w:rsidRPr="006C1B45">
        <w:t>Prejudgment Interest</w:t>
      </w:r>
      <w:r w:rsidR="00993D95" w:rsidRPr="006C1B45">
        <w:t xml:space="preserve"> on Excess Surplus </w:t>
      </w:r>
      <w:r w:rsidR="007B32B2">
        <w:t xml:space="preserve">That </w:t>
      </w:r>
      <w:proofErr w:type="spellStart"/>
      <w:r w:rsidR="007B32B2">
        <w:t>GHMSI</w:t>
      </w:r>
      <w:proofErr w:type="spellEnd"/>
      <w:r w:rsidR="007B32B2">
        <w:t xml:space="preserve"> </w:t>
      </w:r>
      <w:r w:rsidR="00993D95" w:rsidRPr="006C1B45">
        <w:t>Owed to the District as of End of 2011</w:t>
      </w:r>
      <w:bookmarkEnd w:id="10"/>
    </w:p>
    <w:p w:rsidR="005062F9" w:rsidRPr="004B2F56" w:rsidRDefault="00F813E7" w:rsidP="00B14007">
      <w:pPr>
        <w:pStyle w:val="Heading4"/>
        <w:keepNext/>
        <w:numPr>
          <w:ilvl w:val="0"/>
          <w:numId w:val="49"/>
        </w:numPr>
        <w:ind w:hanging="720"/>
      </w:pPr>
      <w:r w:rsidRPr="004B2F56">
        <w:t xml:space="preserve">The Court of Appeals’ Directive to Address the </w:t>
      </w:r>
      <w:r w:rsidR="005062F9" w:rsidRPr="004B2F56">
        <w:t>Request for Prejudgment Interest</w:t>
      </w:r>
    </w:p>
    <w:p w:rsidR="005062F9" w:rsidRPr="004B2F56" w:rsidRDefault="005062F9" w:rsidP="00FE3CE0">
      <w:pPr>
        <w:spacing w:after="240"/>
        <w:ind w:firstLine="720"/>
        <w:jc w:val="both"/>
        <w:rPr>
          <w:rFonts w:cstheme="minorHAnsi"/>
        </w:rPr>
      </w:pPr>
      <w:r w:rsidRPr="004B2F56">
        <w:rPr>
          <w:rFonts w:cstheme="minorHAnsi"/>
        </w:rPr>
        <w:t xml:space="preserve">In a </w:t>
      </w:r>
      <w:r w:rsidR="00553019">
        <w:rPr>
          <w:rFonts w:cstheme="minorHAnsi"/>
        </w:rPr>
        <w:t>July 19</w:t>
      </w:r>
      <w:r w:rsidRPr="004B2F56">
        <w:rPr>
          <w:rFonts w:cstheme="minorHAnsi"/>
        </w:rPr>
        <w:t>, 2017 letter to the Commissioner,</w:t>
      </w:r>
      <w:r w:rsidR="009003EB">
        <w:rPr>
          <w:rFonts w:cstheme="minorHAnsi"/>
        </w:rPr>
        <w:t xml:space="preserve"> </w:t>
      </w:r>
      <w:r w:rsidR="008E7F91">
        <w:rPr>
          <w:rFonts w:cstheme="minorHAnsi"/>
        </w:rPr>
        <w:t>Appleseed</w:t>
      </w:r>
      <w:r w:rsidRPr="004B2F56">
        <w:rPr>
          <w:rFonts w:cstheme="minorHAnsi"/>
        </w:rPr>
        <w:t xml:space="preserve"> requested that the Commissioner </w:t>
      </w:r>
      <w:r w:rsidR="00F813E7" w:rsidRPr="004B2F56">
        <w:rPr>
          <w:rFonts w:cstheme="minorHAnsi"/>
        </w:rPr>
        <w:t xml:space="preserve">order that </w:t>
      </w:r>
      <w:r w:rsidRPr="004B2F56">
        <w:rPr>
          <w:rFonts w:cstheme="minorHAnsi"/>
        </w:rPr>
        <w:t xml:space="preserve">interest </w:t>
      </w:r>
      <w:r w:rsidR="00F813E7" w:rsidRPr="004B2F56">
        <w:rPr>
          <w:rFonts w:cstheme="minorHAnsi"/>
        </w:rPr>
        <w:t xml:space="preserve">be paid by </w:t>
      </w:r>
      <w:proofErr w:type="spellStart"/>
      <w:r w:rsidR="00F813E7" w:rsidRPr="004B2F56">
        <w:rPr>
          <w:rFonts w:cstheme="minorHAnsi"/>
        </w:rPr>
        <w:t>GHMSI</w:t>
      </w:r>
      <w:proofErr w:type="spellEnd"/>
      <w:r w:rsidR="00F813E7" w:rsidRPr="004B2F56">
        <w:rPr>
          <w:rFonts w:cstheme="minorHAnsi"/>
        </w:rPr>
        <w:t xml:space="preserve"> </w:t>
      </w:r>
      <w:r w:rsidRPr="004B2F56">
        <w:rPr>
          <w:rFonts w:cstheme="minorHAnsi"/>
        </w:rPr>
        <w:t xml:space="preserve">beginning at the end of 2011 </w:t>
      </w:r>
      <w:r w:rsidR="00AD15E3">
        <w:rPr>
          <w:rFonts w:cstheme="minorHAnsi"/>
        </w:rPr>
        <w:t>on</w:t>
      </w:r>
      <w:r w:rsidRPr="004B2F56">
        <w:rPr>
          <w:rFonts w:cstheme="minorHAnsi"/>
        </w:rPr>
        <w:t xml:space="preserve"> the amount of excess surplus finally determined to be owed at that date. Appleseed explained that, among other things, “there has been considerable delay in protecting the public’s interest in </w:t>
      </w:r>
      <w:proofErr w:type="spellStart"/>
      <w:r w:rsidRPr="004B2F56">
        <w:rPr>
          <w:rFonts w:cstheme="minorHAnsi"/>
        </w:rPr>
        <w:t>GHMSI’s</w:t>
      </w:r>
      <w:proofErr w:type="spellEnd"/>
      <w:r w:rsidRPr="004B2F56">
        <w:rPr>
          <w:rFonts w:cstheme="minorHAnsi"/>
        </w:rPr>
        <w:t xml:space="preserve"> excess surplus,” “</w:t>
      </w:r>
      <w:proofErr w:type="spellStart"/>
      <w:r w:rsidRPr="004B2F56">
        <w:rPr>
          <w:rFonts w:cstheme="minorHAnsi"/>
        </w:rPr>
        <w:t>GHMSI</w:t>
      </w:r>
      <w:proofErr w:type="spellEnd"/>
      <w:r w:rsidRPr="004B2F56">
        <w:rPr>
          <w:rFonts w:cstheme="minorHAnsi"/>
        </w:rPr>
        <w:t xml:space="preserve"> should not profit from this delay,” “interest earned on the excess surplus belongs to the pu</w:t>
      </w:r>
      <w:r w:rsidRPr="00C007B4">
        <w:rPr>
          <w:rFonts w:cstheme="minorHAnsi"/>
        </w:rPr>
        <w:t>blic, not the company,” and the Co</w:t>
      </w:r>
      <w:r w:rsidRPr="00553019">
        <w:rPr>
          <w:rFonts w:cstheme="minorHAnsi"/>
        </w:rPr>
        <w:t xml:space="preserve">mmissioner has authority to award interest based on his broad discretion under </w:t>
      </w:r>
      <w:proofErr w:type="spellStart"/>
      <w:r w:rsidRPr="00553019">
        <w:rPr>
          <w:rFonts w:cstheme="minorHAnsi"/>
        </w:rPr>
        <w:t>MIEAA</w:t>
      </w:r>
      <w:proofErr w:type="spellEnd"/>
      <w:r w:rsidRPr="00553019">
        <w:rPr>
          <w:rFonts w:cstheme="minorHAnsi"/>
        </w:rPr>
        <w:t xml:space="preserve"> to “issue such orders as are necessary to enforce the purposes </w:t>
      </w:r>
      <w:r w:rsidR="00C23CCC" w:rsidRPr="00553019">
        <w:rPr>
          <w:rFonts w:cstheme="minorHAnsi"/>
        </w:rPr>
        <w:t>of the</w:t>
      </w:r>
      <w:r w:rsidRPr="00553019">
        <w:rPr>
          <w:rFonts w:cstheme="minorHAnsi"/>
        </w:rPr>
        <w:t xml:space="preserve"> statute</w:t>
      </w:r>
      <w:r w:rsidR="00947196" w:rsidRPr="00553019">
        <w:rPr>
          <w:rFonts w:cstheme="minorHAnsi"/>
        </w:rPr>
        <w:t>.</w:t>
      </w:r>
      <w:r w:rsidRPr="00553019">
        <w:rPr>
          <w:rFonts w:cstheme="minorHAnsi"/>
        </w:rPr>
        <w:t>” Letter</w:t>
      </w:r>
      <w:r w:rsidR="00553019" w:rsidRPr="00553019">
        <w:rPr>
          <w:rFonts w:cstheme="minorHAnsi"/>
        </w:rPr>
        <w:t xml:space="preserve"> from </w:t>
      </w:r>
      <w:r w:rsidR="009E167F" w:rsidRPr="00553019">
        <w:rPr>
          <w:rFonts w:cstheme="minorHAnsi"/>
        </w:rPr>
        <w:t>Walter Smith, Exec. Dir.</w:t>
      </w:r>
      <w:r w:rsidR="00C007B4" w:rsidRPr="00553019">
        <w:rPr>
          <w:rFonts w:cstheme="minorHAnsi"/>
        </w:rPr>
        <w:t>,</w:t>
      </w:r>
      <w:r w:rsidR="009003EB" w:rsidRPr="00553019">
        <w:rPr>
          <w:rFonts w:cstheme="minorHAnsi"/>
        </w:rPr>
        <w:t xml:space="preserve"> </w:t>
      </w:r>
      <w:r w:rsidR="00553019" w:rsidRPr="00553019">
        <w:rPr>
          <w:rFonts w:cstheme="minorHAnsi"/>
        </w:rPr>
        <w:t xml:space="preserve">D.C. </w:t>
      </w:r>
      <w:r w:rsidR="008E7F91" w:rsidRPr="00553019">
        <w:rPr>
          <w:rFonts w:cstheme="minorHAnsi"/>
        </w:rPr>
        <w:t>Appleseed</w:t>
      </w:r>
      <w:r w:rsidR="00C007B4" w:rsidRPr="00553019">
        <w:rPr>
          <w:rFonts w:cstheme="minorHAnsi"/>
        </w:rPr>
        <w:t xml:space="preserve"> Ctr. for Law &amp; Justice, to Hon. Stephen Taylor, </w:t>
      </w:r>
      <w:proofErr w:type="spellStart"/>
      <w:r w:rsidR="00C007B4" w:rsidRPr="00553019">
        <w:rPr>
          <w:rFonts w:cstheme="minorHAnsi"/>
        </w:rPr>
        <w:t>Comm’r</w:t>
      </w:r>
      <w:proofErr w:type="spellEnd"/>
      <w:r w:rsidR="00C007B4" w:rsidRPr="00553019">
        <w:rPr>
          <w:rFonts w:cstheme="minorHAnsi"/>
        </w:rPr>
        <w:t>, Dep’t of Ins., Sec. &amp; Banking (</w:t>
      </w:r>
      <w:r w:rsidR="00553019" w:rsidRPr="00553019">
        <w:rPr>
          <w:rFonts w:cstheme="minorHAnsi"/>
        </w:rPr>
        <w:t>July 19</w:t>
      </w:r>
      <w:r w:rsidR="00C007B4" w:rsidRPr="00553019">
        <w:rPr>
          <w:rFonts w:cstheme="minorHAnsi"/>
        </w:rPr>
        <w:t>, 2017)</w:t>
      </w:r>
      <w:r w:rsidRPr="00553019">
        <w:rPr>
          <w:rFonts w:cstheme="minorHAnsi"/>
        </w:rPr>
        <w:t xml:space="preserve"> (citing D.C. Code Section 31-3506(</w:t>
      </w:r>
      <w:proofErr w:type="spellStart"/>
      <w:r w:rsidRPr="00553019">
        <w:rPr>
          <w:rFonts w:cstheme="minorHAnsi"/>
        </w:rPr>
        <w:t>i</w:t>
      </w:r>
      <w:proofErr w:type="spellEnd"/>
      <w:r w:rsidRPr="00553019">
        <w:rPr>
          <w:rFonts w:cstheme="minorHAnsi"/>
        </w:rPr>
        <w:t>)).</w:t>
      </w:r>
    </w:p>
    <w:p w:rsidR="005062F9" w:rsidRPr="004B2F56" w:rsidRDefault="005062F9" w:rsidP="00FE3CE0">
      <w:pPr>
        <w:spacing w:after="240"/>
        <w:ind w:firstLine="720"/>
        <w:jc w:val="both"/>
        <w:rPr>
          <w:rFonts w:cstheme="minorHAnsi"/>
        </w:rPr>
      </w:pPr>
      <w:r w:rsidRPr="004B2F56">
        <w:rPr>
          <w:rFonts w:cstheme="minorHAnsi"/>
        </w:rPr>
        <w:lastRenderedPageBreak/>
        <w:t xml:space="preserve">The Court of Appeals noted that the Commissioner did not address this request. Nor had </w:t>
      </w:r>
      <w:proofErr w:type="spellStart"/>
      <w:r w:rsidRPr="004B2F56">
        <w:rPr>
          <w:rFonts w:cstheme="minorHAnsi"/>
        </w:rPr>
        <w:t>GHMSI</w:t>
      </w:r>
      <w:proofErr w:type="spellEnd"/>
      <w:r w:rsidRPr="004B2F56">
        <w:rPr>
          <w:rFonts w:cstheme="minorHAnsi"/>
        </w:rPr>
        <w:t xml:space="preserve"> or </w:t>
      </w:r>
      <w:proofErr w:type="spellStart"/>
      <w:r w:rsidRPr="004B2F56">
        <w:rPr>
          <w:rFonts w:cstheme="minorHAnsi"/>
        </w:rPr>
        <w:t>DISB</w:t>
      </w:r>
      <w:proofErr w:type="spellEnd"/>
      <w:r w:rsidRPr="004B2F56">
        <w:rPr>
          <w:rFonts w:cstheme="minorHAnsi"/>
        </w:rPr>
        <w:t xml:space="preserve"> disputed that the request was made or that the Commissioner had failed to address it. </w:t>
      </w:r>
      <w:r w:rsidR="00C36896" w:rsidRPr="004B2F56">
        <w:rPr>
          <w:rFonts w:cstheme="minorHAnsi"/>
          <w:i/>
        </w:rPr>
        <w:t>D.C. Appleseed</w:t>
      </w:r>
      <w:r w:rsidR="00C36896" w:rsidRPr="004B2F56">
        <w:rPr>
          <w:rFonts w:cstheme="minorHAnsi"/>
        </w:rPr>
        <w:t xml:space="preserve">, 214 </w:t>
      </w:r>
      <w:proofErr w:type="spellStart"/>
      <w:r w:rsidR="00C36896" w:rsidRPr="004B2F56">
        <w:rPr>
          <w:rFonts w:cstheme="minorHAnsi"/>
        </w:rPr>
        <w:t>A.3d</w:t>
      </w:r>
      <w:proofErr w:type="spellEnd"/>
      <w:r w:rsidR="00C36896" w:rsidRPr="004B2F56">
        <w:rPr>
          <w:rFonts w:cstheme="minorHAnsi"/>
        </w:rPr>
        <w:t xml:space="preserve"> at 99</w:t>
      </w:r>
      <w:r w:rsidR="00C36896">
        <w:rPr>
          <w:rFonts w:cstheme="minorHAnsi"/>
        </w:rPr>
        <w:t>5–96</w:t>
      </w:r>
      <w:r w:rsidRPr="004B2F56">
        <w:rPr>
          <w:rFonts w:cstheme="minorHAnsi"/>
        </w:rPr>
        <w:t xml:space="preserve">. The Court therefore directed the Commissioner to address the request on remand. </w:t>
      </w:r>
      <w:r w:rsidRPr="004B2F56">
        <w:rPr>
          <w:rFonts w:cstheme="minorHAnsi"/>
          <w:i/>
        </w:rPr>
        <w:t>Id.</w:t>
      </w:r>
    </w:p>
    <w:p w:rsidR="005062F9" w:rsidRPr="004B2F56" w:rsidRDefault="005062F9" w:rsidP="00B14007">
      <w:pPr>
        <w:pStyle w:val="Heading4"/>
        <w:keepNext/>
      </w:pPr>
      <w:r w:rsidRPr="004B2F56">
        <w:t xml:space="preserve">Prejudgment Interest </w:t>
      </w:r>
      <w:r w:rsidR="00C36896">
        <w:t>I</w:t>
      </w:r>
      <w:r w:rsidR="00C36896" w:rsidRPr="004B2F56">
        <w:t xml:space="preserve">s </w:t>
      </w:r>
      <w:r w:rsidRPr="004B2F56">
        <w:t>Appropriate</w:t>
      </w:r>
    </w:p>
    <w:p w:rsidR="005062F9" w:rsidRPr="004B2F56" w:rsidRDefault="005062F9" w:rsidP="00FE3CE0">
      <w:pPr>
        <w:spacing w:after="240"/>
        <w:ind w:firstLine="720"/>
        <w:jc w:val="both"/>
        <w:rPr>
          <w:rFonts w:cstheme="minorHAnsi"/>
        </w:rPr>
      </w:pPr>
      <w:r w:rsidRPr="004B2F56">
        <w:rPr>
          <w:rFonts w:cstheme="minorHAnsi"/>
        </w:rPr>
        <w:t>As</w:t>
      </w:r>
      <w:r w:rsidR="009003EB">
        <w:rPr>
          <w:rFonts w:cstheme="minorHAnsi"/>
        </w:rPr>
        <w:t xml:space="preserve"> </w:t>
      </w:r>
      <w:r w:rsidR="008E7F91">
        <w:rPr>
          <w:rFonts w:cstheme="minorHAnsi"/>
        </w:rPr>
        <w:t>Appleseed</w:t>
      </w:r>
      <w:r w:rsidRPr="004B2F56">
        <w:rPr>
          <w:rFonts w:cstheme="minorHAnsi"/>
        </w:rPr>
        <w:t xml:space="preserve"> explained in its appellate brief, relevant local precedent supports imposing prejudgment interest. The Court of Appeals made clear in </w:t>
      </w:r>
      <w:r w:rsidRPr="004B2F56">
        <w:rPr>
          <w:rFonts w:cstheme="minorHAnsi"/>
          <w:i/>
        </w:rPr>
        <w:t>Riggs Nat’l Bank v. District of Columbia</w:t>
      </w:r>
      <w:r w:rsidRPr="004B2F56">
        <w:rPr>
          <w:rFonts w:cstheme="minorHAnsi"/>
        </w:rPr>
        <w:t xml:space="preserve">, that where, as here, money was owed at an earlier date but not paid, denying interest “would deny full compensation to [those entitled to the payment] while allowing the recalcitrant party to take advantage of his own wrong and become the richer for it.” 581 </w:t>
      </w:r>
      <w:proofErr w:type="spellStart"/>
      <w:r w:rsidRPr="004B2F56">
        <w:rPr>
          <w:rFonts w:cstheme="minorHAnsi"/>
        </w:rPr>
        <w:t>A.2d</w:t>
      </w:r>
      <w:proofErr w:type="spellEnd"/>
      <w:r w:rsidRPr="004B2F56">
        <w:rPr>
          <w:rFonts w:cstheme="minorHAnsi"/>
        </w:rPr>
        <w:t xml:space="preserve"> 1229, 1252 (D.C. 1990). Similarly, </w:t>
      </w:r>
      <w:r w:rsidRPr="004B2F56">
        <w:rPr>
          <w:rFonts w:cstheme="minorHAnsi"/>
          <w:i/>
        </w:rPr>
        <w:t xml:space="preserve">D.C. Pub. Sch. v. D.C. Dep’t of </w:t>
      </w:r>
      <w:proofErr w:type="spellStart"/>
      <w:r w:rsidRPr="004B2F56">
        <w:rPr>
          <w:rFonts w:cstheme="minorHAnsi"/>
          <w:i/>
        </w:rPr>
        <w:t>Emp’t</w:t>
      </w:r>
      <w:proofErr w:type="spellEnd"/>
      <w:r w:rsidRPr="004B2F56">
        <w:rPr>
          <w:rFonts w:cstheme="minorHAnsi"/>
          <w:i/>
        </w:rPr>
        <w:t xml:space="preserve"> </w:t>
      </w:r>
      <w:proofErr w:type="spellStart"/>
      <w:r w:rsidRPr="004B2F56">
        <w:rPr>
          <w:rFonts w:cstheme="minorHAnsi"/>
          <w:i/>
        </w:rPr>
        <w:t>Servs</w:t>
      </w:r>
      <w:proofErr w:type="spellEnd"/>
      <w:r w:rsidR="005F6C95">
        <w:rPr>
          <w:rFonts w:cstheme="minorHAnsi"/>
        </w:rPr>
        <w:t xml:space="preserve">, 123 </w:t>
      </w:r>
      <w:proofErr w:type="spellStart"/>
      <w:r w:rsidR="005F6C95">
        <w:rPr>
          <w:rFonts w:cstheme="minorHAnsi"/>
        </w:rPr>
        <w:t>A.</w:t>
      </w:r>
      <w:r w:rsidRPr="004B2F56">
        <w:rPr>
          <w:rFonts w:cstheme="minorHAnsi"/>
        </w:rPr>
        <w:t>3d</w:t>
      </w:r>
      <w:proofErr w:type="spellEnd"/>
      <w:r w:rsidRPr="004B2F56">
        <w:rPr>
          <w:rFonts w:cstheme="minorHAnsi"/>
        </w:rPr>
        <w:t xml:space="preserve"> 947, 952 (D.C. 2015), upheld an agency determination to award prejudgment interest notwithstanding the lack of explicit statutory authority to do so.</w:t>
      </w:r>
    </w:p>
    <w:p w:rsidR="005062F9" w:rsidRPr="004B2F56" w:rsidRDefault="005062F9" w:rsidP="00FE3CE0">
      <w:pPr>
        <w:spacing w:after="240"/>
        <w:ind w:firstLine="720"/>
        <w:jc w:val="both"/>
        <w:rPr>
          <w:rFonts w:cstheme="minorHAnsi"/>
        </w:rPr>
      </w:pPr>
      <w:r w:rsidRPr="004B2F56">
        <w:rPr>
          <w:rFonts w:cstheme="minorHAnsi"/>
        </w:rPr>
        <w:t xml:space="preserve">In addition, Councilmember </w:t>
      </w:r>
      <w:proofErr w:type="spellStart"/>
      <w:r w:rsidRPr="004B2F56">
        <w:rPr>
          <w:rFonts w:cstheme="minorHAnsi"/>
        </w:rPr>
        <w:t>Cheh</w:t>
      </w:r>
      <w:proofErr w:type="spellEnd"/>
      <w:r w:rsidRPr="004B2F56">
        <w:rPr>
          <w:rFonts w:cstheme="minorHAnsi"/>
        </w:rPr>
        <w:t xml:space="preserve">, the author of </w:t>
      </w:r>
      <w:proofErr w:type="spellStart"/>
      <w:r w:rsidRPr="004B2F56">
        <w:rPr>
          <w:rFonts w:cstheme="minorHAnsi"/>
        </w:rPr>
        <w:t>MIEAA</w:t>
      </w:r>
      <w:proofErr w:type="spellEnd"/>
      <w:r w:rsidRPr="004B2F56">
        <w:rPr>
          <w:rFonts w:cstheme="minorHAnsi"/>
        </w:rPr>
        <w:t>, stated before the Court that “[a]s a matter of sound public policy, the Court should add interest to the award, as argued by [</w:t>
      </w:r>
      <w:r w:rsidR="008E7F91">
        <w:rPr>
          <w:rFonts w:cstheme="minorHAnsi"/>
        </w:rPr>
        <w:t>Appleseed</w:t>
      </w:r>
      <w:r w:rsidRPr="004B2F56">
        <w:rPr>
          <w:rFonts w:cstheme="minorHAnsi"/>
        </w:rPr>
        <w:t>].</w:t>
      </w:r>
      <w:r w:rsidR="00F813E7" w:rsidRPr="004B2F56">
        <w:rPr>
          <w:rFonts w:cstheme="minorHAnsi"/>
        </w:rPr>
        <w:t>”</w:t>
      </w:r>
      <w:r w:rsidRPr="004B2F56">
        <w:rPr>
          <w:rFonts w:cstheme="minorHAnsi"/>
        </w:rPr>
        <w:t xml:space="preserve"> Amicus Curiae Brief of </w:t>
      </w:r>
      <w:r w:rsidR="00396724">
        <w:rPr>
          <w:rFonts w:cstheme="minorHAnsi"/>
        </w:rPr>
        <w:t xml:space="preserve">D.C. Councilmember Mary M. </w:t>
      </w:r>
      <w:proofErr w:type="spellStart"/>
      <w:r w:rsidR="00396724">
        <w:rPr>
          <w:rFonts w:cstheme="minorHAnsi"/>
        </w:rPr>
        <w:t>Cheh</w:t>
      </w:r>
      <w:proofErr w:type="spellEnd"/>
      <w:r w:rsidRPr="004B2F56">
        <w:rPr>
          <w:rFonts w:cstheme="minorHAnsi"/>
        </w:rPr>
        <w:t xml:space="preserve"> </w:t>
      </w:r>
      <w:r w:rsidR="00396724">
        <w:rPr>
          <w:rFonts w:cstheme="minorHAnsi"/>
        </w:rPr>
        <w:t>at</w:t>
      </w:r>
      <w:r w:rsidRPr="004B2F56">
        <w:rPr>
          <w:rFonts w:cstheme="minorHAnsi"/>
        </w:rPr>
        <w:t xml:space="preserve"> 8.</w:t>
      </w:r>
    </w:p>
    <w:p w:rsidR="005062F9" w:rsidRPr="004B2F56" w:rsidRDefault="005062F9" w:rsidP="00FE3CE0">
      <w:pPr>
        <w:spacing w:after="240"/>
        <w:ind w:firstLine="720"/>
        <w:jc w:val="both"/>
        <w:rPr>
          <w:rFonts w:cstheme="minorHAnsi"/>
        </w:rPr>
      </w:pPr>
      <w:proofErr w:type="spellStart"/>
      <w:r w:rsidRPr="004B2F56">
        <w:rPr>
          <w:rFonts w:cstheme="minorHAnsi"/>
        </w:rPr>
        <w:t>DISB</w:t>
      </w:r>
      <w:proofErr w:type="spellEnd"/>
      <w:r w:rsidRPr="004B2F56">
        <w:rPr>
          <w:rFonts w:cstheme="minorHAnsi"/>
        </w:rPr>
        <w:t xml:space="preserve"> did not respond to these contentions</w:t>
      </w:r>
      <w:r w:rsidR="00F813E7" w:rsidRPr="004B2F56">
        <w:rPr>
          <w:rFonts w:cstheme="minorHAnsi"/>
        </w:rPr>
        <w:t>.</w:t>
      </w:r>
      <w:r w:rsidR="007D4667">
        <w:rPr>
          <w:rFonts w:cstheme="minorHAnsi"/>
        </w:rPr>
        <w:t xml:space="preserve"> </w:t>
      </w:r>
      <w:proofErr w:type="spellStart"/>
      <w:r w:rsidRPr="004B2F56">
        <w:rPr>
          <w:rFonts w:cstheme="minorHAnsi"/>
        </w:rPr>
        <w:t>GHMSI</w:t>
      </w:r>
      <w:proofErr w:type="spellEnd"/>
      <w:r w:rsidRPr="004B2F56">
        <w:rPr>
          <w:rFonts w:cstheme="minorHAnsi"/>
        </w:rPr>
        <w:t xml:space="preserve"> argued that “in absence of unequivocal prohibition of interest on statutory obligation,” the Court should look to the statutory “purpose in imposing the obligation.” </w:t>
      </w:r>
      <w:proofErr w:type="spellStart"/>
      <w:r w:rsidRPr="004B2F56">
        <w:rPr>
          <w:rFonts w:cstheme="minorHAnsi"/>
        </w:rPr>
        <w:t>GHMSI</w:t>
      </w:r>
      <w:proofErr w:type="spellEnd"/>
      <w:r w:rsidRPr="004B2F56">
        <w:rPr>
          <w:rFonts w:cstheme="minorHAnsi"/>
        </w:rPr>
        <w:t xml:space="preserve"> </w:t>
      </w:r>
      <w:proofErr w:type="spellStart"/>
      <w:r w:rsidRPr="004B2F56">
        <w:rPr>
          <w:rFonts w:cstheme="minorHAnsi"/>
        </w:rPr>
        <w:t>Intervenor</w:t>
      </w:r>
      <w:proofErr w:type="spellEnd"/>
      <w:r w:rsidRPr="004B2F56">
        <w:rPr>
          <w:rFonts w:cstheme="minorHAnsi"/>
        </w:rPr>
        <w:t xml:space="preserve"> Brief</w:t>
      </w:r>
      <w:r w:rsidR="00396724">
        <w:rPr>
          <w:rFonts w:cstheme="minorHAnsi"/>
        </w:rPr>
        <w:t xml:space="preserve"> at</w:t>
      </w:r>
      <w:r w:rsidRPr="004B2F56">
        <w:rPr>
          <w:rFonts w:cstheme="minorHAnsi"/>
        </w:rPr>
        <w:t xml:space="preserve"> 28 (citing </w:t>
      </w:r>
      <w:r w:rsidRPr="004B2F56">
        <w:rPr>
          <w:rFonts w:cstheme="minorHAnsi"/>
          <w:i/>
        </w:rPr>
        <w:t xml:space="preserve">Rodgers v. United </w:t>
      </w:r>
      <w:r w:rsidR="007B32B2">
        <w:rPr>
          <w:rFonts w:cstheme="minorHAnsi"/>
          <w:i/>
        </w:rPr>
        <w:t>S</w:t>
      </w:r>
      <w:r w:rsidR="007B32B2" w:rsidRPr="004B2F56">
        <w:rPr>
          <w:rFonts w:cstheme="minorHAnsi"/>
          <w:i/>
        </w:rPr>
        <w:t>tates</w:t>
      </w:r>
      <w:r w:rsidRPr="004B2F56">
        <w:rPr>
          <w:rFonts w:cstheme="minorHAnsi"/>
        </w:rPr>
        <w:t>, 332 U.S. 371, 373</w:t>
      </w:r>
      <w:r w:rsidR="006602FB">
        <w:rPr>
          <w:rFonts w:cstheme="minorHAnsi"/>
        </w:rPr>
        <w:t>–</w:t>
      </w:r>
      <w:r w:rsidRPr="004B2F56">
        <w:rPr>
          <w:rFonts w:cstheme="minorHAnsi"/>
        </w:rPr>
        <w:t>74 (1947)</w:t>
      </w:r>
      <w:r w:rsidR="006602FB">
        <w:rPr>
          <w:rFonts w:cstheme="minorHAnsi"/>
        </w:rPr>
        <w:t>)</w:t>
      </w:r>
      <w:r w:rsidRPr="004B2F56">
        <w:rPr>
          <w:rFonts w:cstheme="minorHAnsi"/>
        </w:rPr>
        <w:t>.</w:t>
      </w:r>
      <w:r w:rsidR="009003EB">
        <w:rPr>
          <w:rFonts w:cstheme="minorHAnsi"/>
        </w:rPr>
        <w:t xml:space="preserve"> </w:t>
      </w:r>
      <w:r w:rsidR="008E7F91">
        <w:rPr>
          <w:rFonts w:cstheme="minorHAnsi"/>
        </w:rPr>
        <w:t>Appleseed</w:t>
      </w:r>
      <w:r w:rsidRPr="004B2F56">
        <w:rPr>
          <w:rFonts w:cstheme="minorHAnsi"/>
        </w:rPr>
        <w:t xml:space="preserve"> agrees. Three principles support imposing prejudgment interest here: (1) there is no prohibition against interest in </w:t>
      </w:r>
      <w:proofErr w:type="spellStart"/>
      <w:r w:rsidRPr="004B2F56">
        <w:rPr>
          <w:rFonts w:cstheme="minorHAnsi"/>
        </w:rPr>
        <w:t>MIEAA</w:t>
      </w:r>
      <w:proofErr w:type="spellEnd"/>
      <w:r w:rsidRPr="004B2F56">
        <w:rPr>
          <w:rFonts w:cstheme="minorHAnsi"/>
        </w:rPr>
        <w:t xml:space="preserve">; (2) the Commissioner has broad authority to issue orders effectuating </w:t>
      </w:r>
      <w:proofErr w:type="spellStart"/>
      <w:r w:rsidRPr="004B2F56">
        <w:rPr>
          <w:rFonts w:cstheme="minorHAnsi"/>
        </w:rPr>
        <w:t>MIEAA’s</w:t>
      </w:r>
      <w:proofErr w:type="spellEnd"/>
      <w:r w:rsidRPr="004B2F56">
        <w:rPr>
          <w:rFonts w:cstheme="minorHAnsi"/>
        </w:rPr>
        <w:t xml:space="preserve"> purpose,</w:t>
      </w:r>
      <w:r w:rsidR="009A6BAD">
        <w:rPr>
          <w:rStyle w:val="FootnoteReference"/>
          <w:rFonts w:cstheme="minorHAnsi"/>
        </w:rPr>
        <w:footnoteReference w:id="10"/>
      </w:r>
      <w:r w:rsidRPr="004B2F56">
        <w:rPr>
          <w:rFonts w:cstheme="minorHAnsi"/>
        </w:rPr>
        <w:t xml:space="preserve"> which was to promptly commit </w:t>
      </w:r>
      <w:proofErr w:type="spellStart"/>
      <w:r w:rsidR="006C196F" w:rsidRPr="004B2F56">
        <w:rPr>
          <w:rFonts w:cstheme="minorHAnsi"/>
        </w:rPr>
        <w:t>GHMSI’s</w:t>
      </w:r>
      <w:proofErr w:type="spellEnd"/>
      <w:r w:rsidR="006C196F" w:rsidRPr="004B2F56">
        <w:rPr>
          <w:rFonts w:cstheme="minorHAnsi"/>
        </w:rPr>
        <w:t xml:space="preserve"> </w:t>
      </w:r>
      <w:r w:rsidRPr="004B2F56">
        <w:rPr>
          <w:rFonts w:cstheme="minorHAnsi"/>
        </w:rPr>
        <w:t>excess surplus to community health reinvestment; and (3) the interest that the company has earned on its excess surplus during the past eight years’ delay in implementation (2012-2019) should be used to serve community health needs</w:t>
      </w:r>
      <w:r w:rsidR="006C196F" w:rsidRPr="004B2F56">
        <w:rPr>
          <w:rFonts w:cstheme="minorHAnsi"/>
        </w:rPr>
        <w:t xml:space="preserve"> of the District</w:t>
      </w:r>
      <w:r w:rsidRPr="004B2F56">
        <w:rPr>
          <w:rFonts w:cstheme="minorHAnsi"/>
        </w:rPr>
        <w:t xml:space="preserve">, not retained by </w:t>
      </w:r>
      <w:proofErr w:type="spellStart"/>
      <w:r w:rsidR="006C196F" w:rsidRPr="004B2F56">
        <w:rPr>
          <w:rFonts w:cstheme="minorHAnsi"/>
        </w:rPr>
        <w:t>GHMSI</w:t>
      </w:r>
      <w:proofErr w:type="spellEnd"/>
      <w:r w:rsidRPr="004B2F56">
        <w:rPr>
          <w:rFonts w:cstheme="minorHAnsi"/>
        </w:rPr>
        <w:t>.</w:t>
      </w:r>
      <w:r w:rsidR="007D4667">
        <w:rPr>
          <w:rFonts w:cstheme="minorHAnsi"/>
        </w:rPr>
        <w:t xml:space="preserve"> </w:t>
      </w:r>
    </w:p>
    <w:p w:rsidR="005062F9" w:rsidRPr="004B2F56" w:rsidRDefault="005062F9" w:rsidP="00B14007">
      <w:pPr>
        <w:pStyle w:val="Heading4"/>
        <w:keepNext/>
      </w:pPr>
      <w:r w:rsidRPr="004B2F56">
        <w:t xml:space="preserve"> Calculating Prejudgment Interest</w:t>
      </w:r>
    </w:p>
    <w:p w:rsidR="005062F9" w:rsidRPr="004B2F56" w:rsidRDefault="005062F9" w:rsidP="0011670A">
      <w:pPr>
        <w:spacing w:after="240"/>
        <w:ind w:firstLine="720"/>
        <w:jc w:val="both"/>
        <w:rPr>
          <w:rFonts w:cstheme="minorHAnsi"/>
        </w:rPr>
      </w:pPr>
      <w:r w:rsidRPr="004B2F56">
        <w:rPr>
          <w:rFonts w:cstheme="minorHAnsi"/>
        </w:rPr>
        <w:t xml:space="preserve">The interest on </w:t>
      </w:r>
      <w:proofErr w:type="spellStart"/>
      <w:r w:rsidR="0011670A" w:rsidRPr="004B2F56">
        <w:rPr>
          <w:rFonts w:cstheme="minorHAnsi"/>
        </w:rPr>
        <w:t>GHMSI’s</w:t>
      </w:r>
      <w:proofErr w:type="spellEnd"/>
      <w:r w:rsidR="0011670A" w:rsidRPr="004B2F56">
        <w:rPr>
          <w:rFonts w:cstheme="minorHAnsi"/>
        </w:rPr>
        <w:t xml:space="preserve"> </w:t>
      </w:r>
      <w:r w:rsidRPr="004B2F56">
        <w:rPr>
          <w:rFonts w:cstheme="minorHAnsi"/>
        </w:rPr>
        <w:t xml:space="preserve">excess surplus is properly determined with reference to its actual total returns earned on that excess during 2012-2019, including its return on equities (dividends plus net appreciation in the value) and interest on bonds. Computing the amount earned on the excess </w:t>
      </w:r>
      <w:r w:rsidR="0011670A" w:rsidRPr="004B2F56">
        <w:rPr>
          <w:rFonts w:cstheme="minorHAnsi"/>
        </w:rPr>
        <w:t xml:space="preserve">surplus </w:t>
      </w:r>
      <w:r w:rsidRPr="004B2F56">
        <w:rPr>
          <w:rFonts w:cstheme="minorHAnsi"/>
        </w:rPr>
        <w:t xml:space="preserve">during those years is consistent with the Court’s determination in </w:t>
      </w:r>
      <w:r w:rsidRPr="004B2F56">
        <w:rPr>
          <w:rFonts w:cstheme="minorHAnsi"/>
          <w:i/>
        </w:rPr>
        <w:t>Riggs Bank</w:t>
      </w:r>
      <w:r w:rsidRPr="004B2F56">
        <w:rPr>
          <w:rFonts w:cstheme="minorHAnsi"/>
        </w:rPr>
        <w:t xml:space="preserve"> that the party improperly withholding an amount of money from those to whom it was owed should not retain the interest earned on that amount, but should transfer that earned interest to those improperly denied the money. </w:t>
      </w:r>
    </w:p>
    <w:p w:rsidR="005062F9" w:rsidRPr="004B2F56" w:rsidRDefault="005062F9" w:rsidP="00FE3CE0">
      <w:pPr>
        <w:spacing w:after="240"/>
        <w:ind w:firstLine="720"/>
        <w:jc w:val="both"/>
        <w:rPr>
          <w:rFonts w:cstheme="minorHAnsi"/>
        </w:rPr>
      </w:pPr>
      <w:r w:rsidRPr="004B2F56">
        <w:rPr>
          <w:rFonts w:cstheme="minorHAnsi"/>
        </w:rPr>
        <w:t xml:space="preserve">Based upon </w:t>
      </w:r>
      <w:proofErr w:type="spellStart"/>
      <w:r w:rsidR="00112ADE" w:rsidRPr="004B2F56">
        <w:rPr>
          <w:rFonts w:cstheme="minorHAnsi"/>
        </w:rPr>
        <w:t>GHMSI’s</w:t>
      </w:r>
      <w:proofErr w:type="spellEnd"/>
      <w:r w:rsidR="00112ADE" w:rsidRPr="004B2F56">
        <w:rPr>
          <w:rFonts w:cstheme="minorHAnsi"/>
        </w:rPr>
        <w:t xml:space="preserve"> </w:t>
      </w:r>
      <w:r w:rsidRPr="004B2F56">
        <w:rPr>
          <w:rFonts w:cstheme="minorHAnsi"/>
        </w:rPr>
        <w:t xml:space="preserve">publicly available </w:t>
      </w:r>
      <w:r w:rsidR="00112ADE">
        <w:rPr>
          <w:rFonts w:cstheme="minorHAnsi"/>
        </w:rPr>
        <w:t>annual statements</w:t>
      </w:r>
      <w:r w:rsidR="00112ADE" w:rsidRPr="004B2F56">
        <w:rPr>
          <w:rFonts w:cstheme="minorHAnsi"/>
        </w:rPr>
        <w:t xml:space="preserve"> </w:t>
      </w:r>
      <w:r w:rsidR="00112ADE">
        <w:rPr>
          <w:rFonts w:cstheme="minorHAnsi"/>
        </w:rPr>
        <w:t>detailing the company’s investment income and capital gains</w:t>
      </w:r>
      <w:r w:rsidR="00112ADE" w:rsidRPr="004B2F56">
        <w:rPr>
          <w:rFonts w:cstheme="minorHAnsi"/>
        </w:rPr>
        <w:t xml:space="preserve"> </w:t>
      </w:r>
      <w:r w:rsidRPr="004B2F56">
        <w:rPr>
          <w:rFonts w:cstheme="minorHAnsi"/>
        </w:rPr>
        <w:t>during 2012-2019 (</w:t>
      </w:r>
      <w:r w:rsidR="00112ADE">
        <w:rPr>
          <w:rFonts w:cstheme="minorHAnsi"/>
        </w:rPr>
        <w:t>including its 50% share of Blue Choice</w:t>
      </w:r>
      <w:r w:rsidRPr="004B2F56">
        <w:rPr>
          <w:rFonts w:cstheme="minorHAnsi"/>
        </w:rPr>
        <w:t xml:space="preserve">), </w:t>
      </w:r>
      <w:proofErr w:type="spellStart"/>
      <w:r w:rsidRPr="004B2F56">
        <w:rPr>
          <w:rFonts w:cstheme="minorHAnsi"/>
        </w:rPr>
        <w:t>GHMSI</w:t>
      </w:r>
      <w:proofErr w:type="spellEnd"/>
      <w:r w:rsidRPr="004B2F56">
        <w:rPr>
          <w:rFonts w:cstheme="minorHAnsi"/>
        </w:rPr>
        <w:t xml:space="preserve"> earned </w:t>
      </w:r>
      <w:r w:rsidR="008A2CF2">
        <w:rPr>
          <w:rFonts w:cstheme="minorHAnsi"/>
        </w:rPr>
        <w:t xml:space="preserve">an average annual rate of return of </w:t>
      </w:r>
      <w:r w:rsidRPr="004B2F56">
        <w:rPr>
          <w:rFonts w:cstheme="minorHAnsi"/>
        </w:rPr>
        <w:t xml:space="preserve">4.06% on its </w:t>
      </w:r>
      <w:r w:rsidR="0011670A" w:rsidRPr="004B2F56">
        <w:rPr>
          <w:rFonts w:cstheme="minorHAnsi"/>
        </w:rPr>
        <w:t xml:space="preserve">excess </w:t>
      </w:r>
      <w:r w:rsidRPr="004B2F56">
        <w:rPr>
          <w:rFonts w:cstheme="minorHAnsi"/>
        </w:rPr>
        <w:t>surplus during those years</w:t>
      </w:r>
      <w:r w:rsidR="008A2CF2">
        <w:rPr>
          <w:rFonts w:cstheme="minorHAnsi"/>
        </w:rPr>
        <w:t>,</w:t>
      </w:r>
      <w:r w:rsidRPr="004B2F56">
        <w:rPr>
          <w:rFonts w:cstheme="minorHAnsi"/>
        </w:rPr>
        <w:t xml:space="preserve"> for a cumulative gain of 41%. When that gain is added to the $222.3 million of excess </w:t>
      </w:r>
      <w:r w:rsidRPr="004B2F56">
        <w:rPr>
          <w:rFonts w:cstheme="minorHAnsi"/>
        </w:rPr>
        <w:lastRenderedPageBreak/>
        <w:t>surplus due the District at the end of 2011</w:t>
      </w:r>
      <w:r w:rsidR="0011670A" w:rsidRPr="004B2F56">
        <w:rPr>
          <w:rFonts w:cstheme="minorHAnsi"/>
        </w:rPr>
        <w:t xml:space="preserve"> based on the amount attributed to it</w:t>
      </w:r>
      <w:r w:rsidRPr="004B2F56">
        <w:rPr>
          <w:rFonts w:cstheme="minorHAnsi"/>
        </w:rPr>
        <w:t xml:space="preserve">, the total due the District is $313.44 million. This is the amount </w:t>
      </w:r>
      <w:proofErr w:type="spellStart"/>
      <w:r w:rsidRPr="004B2F56">
        <w:rPr>
          <w:rFonts w:cstheme="minorHAnsi"/>
        </w:rPr>
        <w:t>GHMSI</w:t>
      </w:r>
      <w:proofErr w:type="spellEnd"/>
      <w:r w:rsidRPr="004B2F56">
        <w:rPr>
          <w:rFonts w:cstheme="minorHAnsi"/>
        </w:rPr>
        <w:t xml:space="preserve"> should commit to community health reinvestment</w:t>
      </w:r>
      <w:r w:rsidR="0011670A" w:rsidRPr="004B2F56">
        <w:rPr>
          <w:rFonts w:cstheme="minorHAnsi"/>
        </w:rPr>
        <w:t xml:space="preserve"> in the District</w:t>
      </w:r>
      <w:r w:rsidRPr="004B2F56">
        <w:rPr>
          <w:rFonts w:cstheme="minorHAnsi"/>
        </w:rPr>
        <w:t>.</w:t>
      </w:r>
    </w:p>
    <w:p w:rsidR="001B4D24" w:rsidRDefault="00993D95" w:rsidP="00B14007">
      <w:pPr>
        <w:pStyle w:val="Heading3"/>
      </w:pPr>
      <w:bookmarkStart w:id="11" w:name="_Toc40193617"/>
      <w:r w:rsidRPr="004B2F56">
        <w:t>Reimbursement of</w:t>
      </w:r>
      <w:r w:rsidR="009003EB">
        <w:t xml:space="preserve"> </w:t>
      </w:r>
      <w:r w:rsidR="008E7F91">
        <w:t>Appleseed</w:t>
      </w:r>
      <w:r w:rsidRPr="004B2F56">
        <w:t xml:space="preserve">’s </w:t>
      </w:r>
      <w:r w:rsidR="005062F9" w:rsidRPr="004B2F56">
        <w:t>Actuarial Fees</w:t>
      </w:r>
      <w:bookmarkEnd w:id="11"/>
    </w:p>
    <w:p w:rsidR="005062F9" w:rsidRPr="004B2F56" w:rsidRDefault="005062F9" w:rsidP="00B14007">
      <w:pPr>
        <w:pStyle w:val="Heading4"/>
        <w:keepNext/>
        <w:numPr>
          <w:ilvl w:val="0"/>
          <w:numId w:val="50"/>
        </w:numPr>
        <w:ind w:hanging="720"/>
      </w:pPr>
      <w:r w:rsidRPr="004B2F56">
        <w:t>The Court of Appeals</w:t>
      </w:r>
      <w:r w:rsidR="0011670A" w:rsidRPr="004B2F56">
        <w:t>’ Directive to Address the Request for Actuarial Fees</w:t>
      </w:r>
    </w:p>
    <w:p w:rsidR="005062F9" w:rsidRPr="004B2F56" w:rsidRDefault="005062F9" w:rsidP="00FE3CE0">
      <w:pPr>
        <w:spacing w:after="240"/>
        <w:ind w:firstLine="720"/>
        <w:jc w:val="both"/>
        <w:rPr>
          <w:rFonts w:cstheme="minorHAnsi"/>
        </w:rPr>
      </w:pPr>
      <w:r w:rsidRPr="004B2F56">
        <w:rPr>
          <w:rFonts w:cstheme="minorHAnsi"/>
        </w:rPr>
        <w:t>As with prejudgment interest,</w:t>
      </w:r>
      <w:r w:rsidR="009003EB">
        <w:rPr>
          <w:rFonts w:cstheme="minorHAnsi"/>
        </w:rPr>
        <w:t xml:space="preserve"> </w:t>
      </w:r>
      <w:r w:rsidR="008E7F91">
        <w:rPr>
          <w:rFonts w:cstheme="minorHAnsi"/>
        </w:rPr>
        <w:t>Appleseed</w:t>
      </w:r>
      <w:r w:rsidRPr="004B2F56">
        <w:rPr>
          <w:rFonts w:cstheme="minorHAnsi"/>
        </w:rPr>
        <w:t xml:space="preserve"> requested recovery of its actuarial fees before the Commissioner.</w:t>
      </w:r>
      <w:r w:rsidR="007D4667">
        <w:rPr>
          <w:rFonts w:cstheme="minorHAnsi"/>
        </w:rPr>
        <w:t xml:space="preserve"> </w:t>
      </w:r>
      <w:r w:rsidRPr="004B2F56">
        <w:rPr>
          <w:rFonts w:cstheme="minorHAnsi"/>
        </w:rPr>
        <w:t xml:space="preserve">Again, the Commissioner did not address the issue; nor did </w:t>
      </w:r>
      <w:proofErr w:type="spellStart"/>
      <w:r w:rsidRPr="004B2F56">
        <w:rPr>
          <w:rFonts w:cstheme="minorHAnsi"/>
        </w:rPr>
        <w:t>DISB</w:t>
      </w:r>
      <w:proofErr w:type="spellEnd"/>
      <w:r w:rsidRPr="004B2F56">
        <w:rPr>
          <w:rFonts w:cstheme="minorHAnsi"/>
        </w:rPr>
        <w:t xml:space="preserve"> or </w:t>
      </w:r>
      <w:proofErr w:type="spellStart"/>
      <w:r w:rsidRPr="004B2F56">
        <w:rPr>
          <w:rFonts w:cstheme="minorHAnsi"/>
        </w:rPr>
        <w:t>GHMSI</w:t>
      </w:r>
      <w:proofErr w:type="spellEnd"/>
      <w:r w:rsidRPr="004B2F56">
        <w:rPr>
          <w:rFonts w:cstheme="minorHAnsi"/>
        </w:rPr>
        <w:t xml:space="preserve"> dispute that the request for recovery of fees was made or that the Commissioner did not address it. Accordingly, the Court of Appeals directed the Commissioner to address the issue on remand. </w:t>
      </w:r>
      <w:r w:rsidR="00396724" w:rsidRPr="004B2F56">
        <w:rPr>
          <w:rFonts w:cstheme="minorHAnsi"/>
          <w:i/>
        </w:rPr>
        <w:t>D.C. Appleseed</w:t>
      </w:r>
      <w:r w:rsidR="00396724" w:rsidRPr="004B2F56">
        <w:rPr>
          <w:rFonts w:cstheme="minorHAnsi"/>
        </w:rPr>
        <w:t xml:space="preserve">, 214 </w:t>
      </w:r>
      <w:proofErr w:type="spellStart"/>
      <w:r w:rsidR="00396724" w:rsidRPr="004B2F56">
        <w:rPr>
          <w:rFonts w:cstheme="minorHAnsi"/>
        </w:rPr>
        <w:t>A.3d</w:t>
      </w:r>
      <w:proofErr w:type="spellEnd"/>
      <w:r w:rsidR="00396724" w:rsidRPr="004B2F56">
        <w:rPr>
          <w:rFonts w:cstheme="minorHAnsi"/>
        </w:rPr>
        <w:t xml:space="preserve"> at 9</w:t>
      </w:r>
      <w:r w:rsidR="00396724">
        <w:rPr>
          <w:rFonts w:cstheme="minorHAnsi"/>
        </w:rPr>
        <w:t>95</w:t>
      </w:r>
      <w:r w:rsidR="00396724">
        <w:rPr>
          <w:rFonts w:cstheme="minorHAnsi"/>
        </w:rPr>
        <w:softHyphen/>
        <w:t>–96</w:t>
      </w:r>
      <w:r w:rsidRPr="004B2F56">
        <w:rPr>
          <w:rFonts w:cstheme="minorHAnsi"/>
        </w:rPr>
        <w:t>.</w:t>
      </w:r>
    </w:p>
    <w:p w:rsidR="005062F9" w:rsidRPr="004B2F56" w:rsidRDefault="005062F9" w:rsidP="00B14007">
      <w:pPr>
        <w:pStyle w:val="Heading4"/>
        <w:keepNext/>
        <w:ind w:hanging="720"/>
        <w:jc w:val="both"/>
      </w:pPr>
      <w:r w:rsidRPr="004B2F56">
        <w:t>The Commissioner Should Grant</w:t>
      </w:r>
      <w:r w:rsidR="009003EB">
        <w:t xml:space="preserve"> </w:t>
      </w:r>
      <w:r w:rsidR="008E7F91">
        <w:t>Appleseed</w:t>
      </w:r>
      <w:r w:rsidRPr="004B2F56">
        <w:t xml:space="preserve">’s Request for </w:t>
      </w:r>
      <w:r w:rsidR="0030289F" w:rsidRPr="004B2F56">
        <w:t>Its Out-of-</w:t>
      </w:r>
      <w:r w:rsidR="00054E3E">
        <w:t>P</w:t>
      </w:r>
      <w:r w:rsidR="00054E3E" w:rsidRPr="004B2F56">
        <w:t>ocke</w:t>
      </w:r>
      <w:r w:rsidR="0030289F" w:rsidRPr="004B2F56">
        <w:t xml:space="preserve">t </w:t>
      </w:r>
      <w:r w:rsidRPr="004B2F56">
        <w:t>Actuarial Fees</w:t>
      </w:r>
      <w:r w:rsidR="00717B90" w:rsidRPr="004B2F56">
        <w:t xml:space="preserve"> </w:t>
      </w:r>
      <w:r w:rsidR="00731B95">
        <w:t>a</w:t>
      </w:r>
      <w:r w:rsidR="00717B90" w:rsidRPr="004B2F56">
        <w:t xml:space="preserve">s </w:t>
      </w:r>
      <w:r w:rsidR="00731B95">
        <w:t>a</w:t>
      </w:r>
      <w:r w:rsidR="00717B90" w:rsidRPr="004B2F56">
        <w:t xml:space="preserve"> Payment Separate </w:t>
      </w:r>
      <w:r w:rsidR="00731B95">
        <w:t>f</w:t>
      </w:r>
      <w:r w:rsidR="00717B90" w:rsidRPr="004B2F56">
        <w:t>rom Spend</w:t>
      </w:r>
      <w:r w:rsidR="00BE2DB8">
        <w:t>-</w:t>
      </w:r>
      <w:r w:rsidR="00731B95">
        <w:t>D</w:t>
      </w:r>
      <w:r w:rsidR="00717B90" w:rsidRPr="004B2F56">
        <w:t xml:space="preserve">own </w:t>
      </w:r>
      <w:r w:rsidR="00731B95">
        <w:t>O</w:t>
      </w:r>
      <w:r w:rsidR="00717B90" w:rsidRPr="004B2F56">
        <w:t>f Excess Surplus</w:t>
      </w:r>
      <w:r w:rsidR="00BE2DB8">
        <w:t xml:space="preserve"> for Community Health Benefit</w:t>
      </w:r>
    </w:p>
    <w:p w:rsidR="005062F9" w:rsidRPr="004B2F56" w:rsidRDefault="005062F9" w:rsidP="00FE3CE0">
      <w:pPr>
        <w:spacing w:after="240"/>
        <w:ind w:firstLine="720"/>
        <w:jc w:val="both"/>
        <w:rPr>
          <w:rFonts w:eastAsia="Times New Roman" w:cstheme="minorHAnsi"/>
        </w:rPr>
      </w:pPr>
      <w:r w:rsidRPr="004B2F56">
        <w:rPr>
          <w:rFonts w:cstheme="minorHAnsi"/>
        </w:rPr>
        <w:t>In its July 19, 2017 Letter to the Commissioner,</w:t>
      </w:r>
      <w:r w:rsidR="009003EB">
        <w:rPr>
          <w:rFonts w:cstheme="minorHAnsi"/>
        </w:rPr>
        <w:t xml:space="preserve"> </w:t>
      </w:r>
      <w:r w:rsidR="008E7F91">
        <w:rPr>
          <w:rFonts w:cstheme="minorHAnsi"/>
        </w:rPr>
        <w:t>Appleseed</w:t>
      </w:r>
      <w:r w:rsidRPr="004B2F56">
        <w:rPr>
          <w:rFonts w:cstheme="minorHAnsi"/>
        </w:rPr>
        <w:t xml:space="preserve"> </w:t>
      </w:r>
      <w:r w:rsidRPr="004B2F56">
        <w:rPr>
          <w:rFonts w:eastAsia="Times New Roman" w:cstheme="minorHAnsi"/>
        </w:rPr>
        <w:t xml:space="preserve">recognized that participants in litigation </w:t>
      </w:r>
      <w:r w:rsidR="009309F5" w:rsidRPr="004B2F56">
        <w:rPr>
          <w:rFonts w:eastAsia="Times New Roman" w:cstheme="minorHAnsi"/>
        </w:rPr>
        <w:t xml:space="preserve">generally </w:t>
      </w:r>
      <w:r w:rsidRPr="004B2F56">
        <w:rPr>
          <w:rFonts w:eastAsia="Times New Roman" w:cstheme="minorHAnsi"/>
        </w:rPr>
        <w:t xml:space="preserve">are responsible for their costs unless otherwise provided by statute, and that </w:t>
      </w:r>
      <w:proofErr w:type="spellStart"/>
      <w:r w:rsidRPr="004B2F56">
        <w:rPr>
          <w:rFonts w:eastAsia="Times New Roman" w:cstheme="minorHAnsi"/>
        </w:rPr>
        <w:t>MIEAA</w:t>
      </w:r>
      <w:proofErr w:type="spellEnd"/>
      <w:r w:rsidRPr="004B2F56">
        <w:rPr>
          <w:rFonts w:eastAsia="Times New Roman" w:cstheme="minorHAnsi"/>
        </w:rPr>
        <w:t xml:space="preserve"> does not expressly provide for a participant to recover fees. But</w:t>
      </w:r>
      <w:r w:rsidR="004F2E49">
        <w:rPr>
          <w:rFonts w:eastAsia="Times New Roman" w:cstheme="minorHAnsi"/>
        </w:rPr>
        <w:t xml:space="preserve"> </w:t>
      </w:r>
      <w:proofErr w:type="spellStart"/>
      <w:r w:rsidR="004F2E49">
        <w:rPr>
          <w:rFonts w:eastAsia="Times New Roman" w:cstheme="minorHAnsi"/>
        </w:rPr>
        <w:t>MIEAA</w:t>
      </w:r>
      <w:proofErr w:type="spellEnd"/>
      <w:r w:rsidR="004F2E49">
        <w:rPr>
          <w:rFonts w:eastAsia="Times New Roman" w:cstheme="minorHAnsi"/>
        </w:rPr>
        <w:t xml:space="preserve"> does authorize the Commissioner to award fees in appropriate circumstances, and</w:t>
      </w:r>
      <w:r w:rsidRPr="004B2F56">
        <w:rPr>
          <w:rFonts w:eastAsia="Times New Roman" w:cstheme="minorHAnsi"/>
        </w:rPr>
        <w:t xml:space="preserve"> the circumstances in this drawn-out administrative proceeding and parallel litigation justify recovery of Appleseed’s actuarial fees, which have benefited</w:t>
      </w:r>
      <w:r w:rsidR="00D91014" w:rsidRPr="004B2F56">
        <w:rPr>
          <w:rFonts w:eastAsia="Times New Roman" w:cstheme="minorHAnsi"/>
        </w:rPr>
        <w:t xml:space="preserve"> both the</w:t>
      </w:r>
      <w:r w:rsidRPr="004B2F56">
        <w:rPr>
          <w:rFonts w:eastAsia="Times New Roman" w:cstheme="minorHAnsi"/>
        </w:rPr>
        <w:t xml:space="preserve"> Commissioner</w:t>
      </w:r>
      <w:r w:rsidR="00D91014" w:rsidRPr="004B2F56">
        <w:rPr>
          <w:rFonts w:eastAsia="Times New Roman" w:cstheme="minorHAnsi"/>
        </w:rPr>
        <w:t xml:space="preserve">’s review of </w:t>
      </w:r>
      <w:proofErr w:type="spellStart"/>
      <w:r w:rsidR="00D91014" w:rsidRPr="004B2F56">
        <w:rPr>
          <w:rFonts w:eastAsia="Times New Roman" w:cstheme="minorHAnsi"/>
        </w:rPr>
        <w:t>GHMSI’s</w:t>
      </w:r>
      <w:proofErr w:type="spellEnd"/>
      <w:r w:rsidR="00D91014" w:rsidRPr="004B2F56">
        <w:rPr>
          <w:rFonts w:eastAsia="Times New Roman" w:cstheme="minorHAnsi"/>
        </w:rPr>
        <w:t xml:space="preserve"> surplus</w:t>
      </w:r>
      <w:r w:rsidRPr="004B2F56">
        <w:rPr>
          <w:rFonts w:eastAsia="Times New Roman" w:cstheme="minorHAnsi"/>
        </w:rPr>
        <w:t xml:space="preserve"> and the public interest.</w:t>
      </w:r>
      <w:r w:rsidR="007D4667">
        <w:rPr>
          <w:rFonts w:eastAsia="Times New Roman" w:cstheme="minorHAnsi"/>
        </w:rPr>
        <w:t xml:space="preserve"> </w:t>
      </w:r>
      <w:r w:rsidR="00717B90" w:rsidRPr="004B2F56">
        <w:rPr>
          <w:rFonts w:eastAsia="Times New Roman" w:cstheme="minorHAnsi"/>
        </w:rPr>
        <w:t xml:space="preserve">Reimbursement of actuarial fees would be in addition to </w:t>
      </w:r>
      <w:proofErr w:type="spellStart"/>
      <w:r w:rsidR="00717B90" w:rsidRPr="004B2F56">
        <w:rPr>
          <w:rFonts w:eastAsia="Times New Roman" w:cstheme="minorHAnsi"/>
        </w:rPr>
        <w:t>GHMSI’s</w:t>
      </w:r>
      <w:proofErr w:type="spellEnd"/>
      <w:r w:rsidR="00717B90" w:rsidRPr="004B2F56">
        <w:rPr>
          <w:rFonts w:eastAsia="Times New Roman" w:cstheme="minorHAnsi"/>
        </w:rPr>
        <w:t xml:space="preserve"> spend</w:t>
      </w:r>
      <w:r w:rsidR="00D0641E">
        <w:rPr>
          <w:rFonts w:eastAsia="Times New Roman" w:cstheme="minorHAnsi"/>
        </w:rPr>
        <w:t>-</w:t>
      </w:r>
      <w:r w:rsidR="00717B90" w:rsidRPr="004B2F56">
        <w:rPr>
          <w:rFonts w:eastAsia="Times New Roman" w:cstheme="minorHAnsi"/>
        </w:rPr>
        <w:t xml:space="preserve">down of its excess surplus. </w:t>
      </w:r>
    </w:p>
    <w:p w:rsidR="005062F9" w:rsidRPr="004B2F56" w:rsidRDefault="005062F9" w:rsidP="00FE3CE0">
      <w:pPr>
        <w:spacing w:after="240"/>
        <w:ind w:firstLine="720"/>
        <w:jc w:val="both"/>
        <w:rPr>
          <w:rFonts w:eastAsia="Times New Roman" w:cstheme="minorHAnsi"/>
        </w:rPr>
      </w:pPr>
      <w:r w:rsidRPr="004B2F56">
        <w:rPr>
          <w:rFonts w:eastAsia="Times New Roman" w:cstheme="minorHAnsi"/>
        </w:rPr>
        <w:t>In this case, the</w:t>
      </w:r>
      <w:r w:rsidR="00054E3E">
        <w:rPr>
          <w:rFonts w:eastAsia="Times New Roman" w:cstheme="minorHAnsi"/>
        </w:rPr>
        <w:t xml:space="preserve"> </w:t>
      </w:r>
      <w:r w:rsidRPr="004B2F56">
        <w:rPr>
          <w:rFonts w:eastAsia="Times New Roman" w:cstheme="minorHAnsi"/>
        </w:rPr>
        <w:t xml:space="preserve">Court of Appeals recognized the </w:t>
      </w:r>
      <w:r w:rsidR="00D91014" w:rsidRPr="004B2F56">
        <w:rPr>
          <w:rFonts w:eastAsia="Times New Roman" w:cstheme="minorHAnsi"/>
        </w:rPr>
        <w:t>value and contribution</w:t>
      </w:r>
      <w:r w:rsidRPr="004B2F56">
        <w:rPr>
          <w:rFonts w:eastAsia="Times New Roman" w:cstheme="minorHAnsi"/>
        </w:rPr>
        <w:t xml:space="preserve"> of</w:t>
      </w:r>
      <w:r w:rsidR="009003EB">
        <w:rPr>
          <w:rFonts w:eastAsia="Times New Roman" w:cstheme="minorHAnsi"/>
        </w:rPr>
        <w:t xml:space="preserve"> </w:t>
      </w:r>
      <w:r w:rsidR="008E7F91">
        <w:rPr>
          <w:rFonts w:eastAsia="Times New Roman" w:cstheme="minorHAnsi"/>
        </w:rPr>
        <w:t>Appleseed</w:t>
      </w:r>
      <w:r w:rsidRPr="004B2F56">
        <w:rPr>
          <w:rFonts w:eastAsia="Times New Roman" w:cstheme="minorHAnsi"/>
        </w:rPr>
        <w:t xml:space="preserve">’s </w:t>
      </w:r>
      <w:r w:rsidR="00D91014" w:rsidRPr="004B2F56">
        <w:rPr>
          <w:rFonts w:eastAsia="Times New Roman" w:cstheme="minorHAnsi"/>
        </w:rPr>
        <w:t>role in</w:t>
      </w:r>
      <w:r w:rsidRPr="004B2F56">
        <w:rPr>
          <w:rFonts w:eastAsia="Times New Roman" w:cstheme="minorHAnsi"/>
        </w:rPr>
        <w:t xml:space="preserve"> enforcing </w:t>
      </w:r>
      <w:proofErr w:type="spellStart"/>
      <w:r w:rsidRPr="004B2F56">
        <w:rPr>
          <w:rFonts w:eastAsia="Times New Roman" w:cstheme="minorHAnsi"/>
        </w:rPr>
        <w:t>MIEAA</w:t>
      </w:r>
      <w:proofErr w:type="spellEnd"/>
      <w:r w:rsidRPr="004B2F56">
        <w:rPr>
          <w:rFonts w:eastAsia="Times New Roman" w:cstheme="minorHAnsi"/>
        </w:rPr>
        <w:t>,</w:t>
      </w:r>
      <w:r w:rsidRPr="004B2F56">
        <w:rPr>
          <w:rStyle w:val="FootnoteReference"/>
          <w:rFonts w:eastAsia="Times New Roman" w:cstheme="minorHAnsi"/>
        </w:rPr>
        <w:footnoteReference w:id="11"/>
      </w:r>
      <w:r w:rsidRPr="004B2F56">
        <w:rPr>
          <w:rFonts w:eastAsia="Times New Roman" w:cstheme="minorHAnsi"/>
        </w:rPr>
        <w:t xml:space="preserve"> and </w:t>
      </w:r>
      <w:r w:rsidRPr="004B2F56">
        <w:rPr>
          <w:rFonts w:cstheme="minorHAnsi"/>
        </w:rPr>
        <w:t>in multiple instances</w:t>
      </w:r>
      <w:r w:rsidRPr="004B2F56">
        <w:rPr>
          <w:rFonts w:eastAsia="Times New Roman" w:cstheme="minorHAnsi"/>
        </w:rPr>
        <w:t>,</w:t>
      </w:r>
      <w:r w:rsidRPr="004B2F56">
        <w:rPr>
          <w:rFonts w:cstheme="minorHAnsi"/>
        </w:rPr>
        <w:t xml:space="preserve"> the Commissioner has recognized the importance of</w:t>
      </w:r>
      <w:r w:rsidR="009003EB">
        <w:rPr>
          <w:rFonts w:cstheme="minorHAnsi"/>
        </w:rPr>
        <w:t xml:space="preserve"> </w:t>
      </w:r>
      <w:r w:rsidR="008E7F91">
        <w:rPr>
          <w:rFonts w:eastAsia="Times New Roman" w:cstheme="minorHAnsi"/>
        </w:rPr>
        <w:t>Appleseed</w:t>
      </w:r>
      <w:r w:rsidRPr="004B2F56">
        <w:rPr>
          <w:rFonts w:eastAsia="Times New Roman" w:cstheme="minorHAnsi"/>
        </w:rPr>
        <w:t xml:space="preserve">’s advocacy to implement </w:t>
      </w:r>
      <w:proofErr w:type="spellStart"/>
      <w:r w:rsidRPr="004B2F56">
        <w:rPr>
          <w:rFonts w:eastAsia="Times New Roman" w:cstheme="minorHAnsi"/>
        </w:rPr>
        <w:t>MIEAA</w:t>
      </w:r>
      <w:proofErr w:type="spellEnd"/>
      <w:r w:rsidRPr="004B2F56">
        <w:rPr>
          <w:rFonts w:eastAsia="Times New Roman" w:cstheme="minorHAnsi"/>
        </w:rPr>
        <w:t>.</w:t>
      </w:r>
      <w:r w:rsidRPr="004B2F56">
        <w:rPr>
          <w:rStyle w:val="FootnoteReference"/>
          <w:rFonts w:eastAsia="Times New Roman" w:cstheme="minorHAnsi"/>
        </w:rPr>
        <w:footnoteReference w:id="12"/>
      </w:r>
      <w:r w:rsidR="007D4667">
        <w:rPr>
          <w:rFonts w:eastAsia="Times New Roman" w:cstheme="minorHAnsi"/>
        </w:rPr>
        <w:t xml:space="preserve"> </w:t>
      </w:r>
      <w:r w:rsidR="00D91014" w:rsidRPr="004B2F56">
        <w:rPr>
          <w:rFonts w:eastAsia="Times New Roman" w:cstheme="minorHAnsi"/>
        </w:rPr>
        <w:t>In addition to this</w:t>
      </w:r>
      <w:r w:rsidRPr="004B2F56">
        <w:rPr>
          <w:rFonts w:eastAsia="Times New Roman" w:cstheme="minorHAnsi"/>
        </w:rPr>
        <w:t xml:space="preserve"> recognition of </w:t>
      </w:r>
      <w:r w:rsidRPr="004B2F56">
        <w:rPr>
          <w:rFonts w:eastAsia="Times New Roman" w:cstheme="minorHAnsi"/>
        </w:rPr>
        <w:lastRenderedPageBreak/>
        <w:t xml:space="preserve">Appleseed’s peculiarly important third-party </w:t>
      </w:r>
      <w:r w:rsidR="00D91014" w:rsidRPr="004B2F56">
        <w:rPr>
          <w:rFonts w:eastAsia="Times New Roman" w:cstheme="minorHAnsi"/>
        </w:rPr>
        <w:t>contribution,</w:t>
      </w:r>
      <w:r w:rsidRPr="004B2F56">
        <w:rPr>
          <w:rFonts w:eastAsia="Times New Roman" w:cstheme="minorHAnsi"/>
        </w:rPr>
        <w:t xml:space="preserve"> </w:t>
      </w:r>
      <w:proofErr w:type="spellStart"/>
      <w:r w:rsidRPr="004B2F56">
        <w:rPr>
          <w:rFonts w:eastAsia="Times New Roman" w:cstheme="minorHAnsi"/>
        </w:rPr>
        <w:t>MIEAA</w:t>
      </w:r>
      <w:proofErr w:type="spellEnd"/>
      <w:r w:rsidRPr="004B2F56">
        <w:rPr>
          <w:rFonts w:eastAsia="Times New Roman" w:cstheme="minorHAnsi"/>
        </w:rPr>
        <w:t xml:space="preserve"> contemplates </w:t>
      </w:r>
      <w:proofErr w:type="spellStart"/>
      <w:r w:rsidRPr="004B2F56">
        <w:rPr>
          <w:rFonts w:eastAsia="Times New Roman" w:cstheme="minorHAnsi"/>
        </w:rPr>
        <w:t>GHMSI</w:t>
      </w:r>
      <w:proofErr w:type="spellEnd"/>
      <w:r w:rsidRPr="004B2F56">
        <w:rPr>
          <w:rFonts w:eastAsia="Times New Roman" w:cstheme="minorHAnsi"/>
        </w:rPr>
        <w:t xml:space="preserve"> paying for independent expertise used by the Commissioner in reaching a determination.</w:t>
      </w:r>
      <w:r w:rsidRPr="004B2F56">
        <w:rPr>
          <w:rStyle w:val="FootnoteReference"/>
          <w:rFonts w:eastAsia="Times New Roman" w:cstheme="minorHAnsi"/>
        </w:rPr>
        <w:footnoteReference w:id="13"/>
      </w:r>
      <w:r w:rsidRPr="004B2F56">
        <w:rPr>
          <w:rFonts w:eastAsia="Times New Roman" w:cstheme="minorHAnsi"/>
        </w:rPr>
        <w:t xml:space="preserve"> </w:t>
      </w:r>
    </w:p>
    <w:p w:rsidR="005062F9" w:rsidRPr="004B2F56" w:rsidRDefault="008E7F91" w:rsidP="00FE3CE0">
      <w:pPr>
        <w:spacing w:after="240"/>
        <w:ind w:firstLine="720"/>
        <w:jc w:val="both"/>
        <w:rPr>
          <w:rFonts w:eastAsia="Times New Roman" w:cstheme="minorHAnsi"/>
        </w:rPr>
      </w:pPr>
      <w:r>
        <w:rPr>
          <w:rFonts w:eastAsia="Times New Roman" w:cstheme="minorHAnsi"/>
        </w:rPr>
        <w:t xml:space="preserve"> Appleseed</w:t>
      </w:r>
      <w:r w:rsidR="005062F9" w:rsidRPr="004B2F56">
        <w:rPr>
          <w:rFonts w:eastAsia="Times New Roman" w:cstheme="minorHAnsi"/>
        </w:rPr>
        <w:t xml:space="preserve"> was able to sustain its longstanding involvement in developing and implementing </w:t>
      </w:r>
      <w:proofErr w:type="spellStart"/>
      <w:r w:rsidR="005062F9" w:rsidRPr="004B2F56">
        <w:rPr>
          <w:rFonts w:eastAsia="Times New Roman" w:cstheme="minorHAnsi"/>
        </w:rPr>
        <w:t>MIEAA</w:t>
      </w:r>
      <w:proofErr w:type="spellEnd"/>
      <w:r w:rsidR="005062F9" w:rsidRPr="004B2F56">
        <w:rPr>
          <w:rFonts w:eastAsia="Times New Roman" w:cstheme="minorHAnsi"/>
        </w:rPr>
        <w:t xml:space="preserve"> due in part to the significant pro bono contributions from two law firms—Covington &amp; Burling and Harkins Cunningham—and from health economist Deborah </w:t>
      </w:r>
      <w:proofErr w:type="spellStart"/>
      <w:r w:rsidR="005062F9" w:rsidRPr="004B2F56">
        <w:rPr>
          <w:rFonts w:eastAsia="Times New Roman" w:cstheme="minorHAnsi"/>
        </w:rPr>
        <w:t>Chollet</w:t>
      </w:r>
      <w:proofErr w:type="spellEnd"/>
      <w:r w:rsidR="005062F9" w:rsidRPr="004B2F56">
        <w:rPr>
          <w:rFonts w:eastAsia="Times New Roman" w:cstheme="minorHAnsi"/>
        </w:rPr>
        <w:t xml:space="preserve"> at Mathematica Policy Research. However, it became clear early in the </w:t>
      </w:r>
      <w:proofErr w:type="spellStart"/>
      <w:r w:rsidR="005062F9" w:rsidRPr="004B2F56">
        <w:rPr>
          <w:rFonts w:eastAsia="Times New Roman" w:cstheme="minorHAnsi"/>
        </w:rPr>
        <w:t>DISB</w:t>
      </w:r>
      <w:proofErr w:type="spellEnd"/>
      <w:r w:rsidR="005062F9" w:rsidRPr="004B2F56">
        <w:rPr>
          <w:rFonts w:eastAsia="Times New Roman" w:cstheme="minorHAnsi"/>
        </w:rPr>
        <w:t xml:space="preserve"> proceedings that retaining an independent actuarial expert was critical to address the complexities of the statistical model central to the arguments of both </w:t>
      </w:r>
      <w:proofErr w:type="spellStart"/>
      <w:r w:rsidR="005062F9" w:rsidRPr="004B2F56">
        <w:rPr>
          <w:rFonts w:eastAsia="Times New Roman" w:cstheme="minorHAnsi"/>
        </w:rPr>
        <w:t>GHMSI’s</w:t>
      </w:r>
      <w:proofErr w:type="spellEnd"/>
      <w:r w:rsidR="005062F9" w:rsidRPr="004B2F56">
        <w:rPr>
          <w:rFonts w:eastAsia="Times New Roman" w:cstheme="minorHAnsi"/>
        </w:rPr>
        <w:t xml:space="preserve"> expert, </w:t>
      </w:r>
      <w:proofErr w:type="spellStart"/>
      <w:r w:rsidR="005062F9" w:rsidRPr="004B2F56">
        <w:rPr>
          <w:rFonts w:eastAsia="Times New Roman" w:cstheme="minorHAnsi"/>
        </w:rPr>
        <w:t>Milliman</w:t>
      </w:r>
      <w:proofErr w:type="spellEnd"/>
      <w:r w:rsidR="005062F9" w:rsidRPr="004B2F56">
        <w:rPr>
          <w:rFonts w:eastAsia="Times New Roman" w:cstheme="minorHAnsi"/>
        </w:rPr>
        <w:t>, and the Commissioner’s expert, Rector.</w:t>
      </w:r>
    </w:p>
    <w:p w:rsidR="005062F9" w:rsidRPr="004B2F56" w:rsidRDefault="005062F9" w:rsidP="00FE3CE0">
      <w:pPr>
        <w:spacing w:after="240"/>
        <w:ind w:firstLine="720"/>
        <w:jc w:val="both"/>
        <w:rPr>
          <w:rFonts w:eastAsia="Times New Roman" w:cstheme="minorHAnsi"/>
        </w:rPr>
      </w:pPr>
      <w:r w:rsidRPr="004B2F56">
        <w:rPr>
          <w:rFonts w:eastAsia="Times New Roman" w:cstheme="minorHAnsi"/>
        </w:rPr>
        <w:t xml:space="preserve">Appleseed’s independent actuarial expert disagreed with many elements in </w:t>
      </w:r>
      <w:proofErr w:type="spellStart"/>
      <w:r w:rsidRPr="004B2F56">
        <w:rPr>
          <w:rFonts w:eastAsia="Times New Roman" w:cstheme="minorHAnsi"/>
        </w:rPr>
        <w:t>Milliman’s</w:t>
      </w:r>
      <w:proofErr w:type="spellEnd"/>
      <w:r w:rsidRPr="004B2F56">
        <w:rPr>
          <w:rFonts w:eastAsia="Times New Roman" w:cstheme="minorHAnsi"/>
        </w:rPr>
        <w:t xml:space="preserve"> and Rector’s use of the model, including their use of the confidence level and the premium growth estimates</w:t>
      </w:r>
      <w:r w:rsidR="009309F5" w:rsidRPr="004B2F56">
        <w:rPr>
          <w:rFonts w:eastAsia="Times New Roman" w:cstheme="minorHAnsi"/>
        </w:rPr>
        <w:t>.</w:t>
      </w:r>
      <w:r w:rsidR="007D4667">
        <w:rPr>
          <w:rFonts w:eastAsia="Times New Roman" w:cstheme="minorHAnsi"/>
        </w:rPr>
        <w:t xml:space="preserve"> </w:t>
      </w:r>
      <w:r w:rsidR="009309F5" w:rsidRPr="004B2F56">
        <w:rPr>
          <w:rFonts w:eastAsia="Times New Roman" w:cstheme="minorHAnsi"/>
        </w:rPr>
        <w:t xml:space="preserve">And </w:t>
      </w:r>
      <w:r w:rsidRPr="004B2F56">
        <w:rPr>
          <w:rFonts w:eastAsia="Times New Roman" w:cstheme="minorHAnsi"/>
        </w:rPr>
        <w:t xml:space="preserve">it was the Commissioner’s disagreement with </w:t>
      </w:r>
      <w:proofErr w:type="spellStart"/>
      <w:r w:rsidRPr="004B2F56">
        <w:rPr>
          <w:rFonts w:eastAsia="Times New Roman" w:cstheme="minorHAnsi"/>
        </w:rPr>
        <w:t>Milliman</w:t>
      </w:r>
      <w:proofErr w:type="spellEnd"/>
      <w:r w:rsidRPr="004B2F56">
        <w:rPr>
          <w:rFonts w:eastAsia="Times New Roman" w:cstheme="minorHAnsi"/>
        </w:rPr>
        <w:t xml:space="preserve"> and Rector on those two elements that caused him to conclude, contrary to </w:t>
      </w:r>
      <w:proofErr w:type="spellStart"/>
      <w:r w:rsidRPr="004B2F56">
        <w:rPr>
          <w:rFonts w:eastAsia="Times New Roman" w:cstheme="minorHAnsi"/>
        </w:rPr>
        <w:t>GHMSI’s</w:t>
      </w:r>
      <w:proofErr w:type="spellEnd"/>
      <w:r w:rsidRPr="004B2F56">
        <w:rPr>
          <w:rFonts w:eastAsia="Times New Roman" w:cstheme="minorHAnsi"/>
        </w:rPr>
        <w:t xml:space="preserve"> position, that</w:t>
      </w:r>
      <w:r w:rsidR="009309F5" w:rsidRPr="004B2F56">
        <w:rPr>
          <w:rFonts w:eastAsia="Times New Roman" w:cstheme="minorHAnsi"/>
        </w:rPr>
        <w:t xml:space="preserve"> </w:t>
      </w:r>
      <w:proofErr w:type="spellStart"/>
      <w:r w:rsidR="009309F5" w:rsidRPr="004B2F56">
        <w:rPr>
          <w:rFonts w:eastAsia="Times New Roman" w:cstheme="minorHAnsi"/>
        </w:rPr>
        <w:t>GHMSI</w:t>
      </w:r>
      <w:proofErr w:type="spellEnd"/>
      <w:r w:rsidR="009309F5" w:rsidRPr="004B2F56">
        <w:rPr>
          <w:rFonts w:eastAsia="Times New Roman" w:cstheme="minorHAnsi"/>
        </w:rPr>
        <w:t xml:space="preserve"> </w:t>
      </w:r>
      <w:r w:rsidRPr="004B2F56">
        <w:rPr>
          <w:rFonts w:eastAsia="Times New Roman" w:cstheme="minorHAnsi"/>
        </w:rPr>
        <w:t>has $268 million of excess surplus. Although the Commissioner did not formally engage</w:t>
      </w:r>
      <w:r w:rsidR="009003EB">
        <w:rPr>
          <w:rFonts w:eastAsia="Times New Roman" w:cstheme="minorHAnsi"/>
        </w:rPr>
        <w:t xml:space="preserve"> </w:t>
      </w:r>
      <w:r w:rsidR="008E7F91">
        <w:rPr>
          <w:rFonts w:eastAsia="Times New Roman" w:cstheme="minorHAnsi"/>
        </w:rPr>
        <w:t>Appleseed</w:t>
      </w:r>
      <w:r w:rsidRPr="004B2F56">
        <w:rPr>
          <w:rFonts w:eastAsia="Times New Roman" w:cstheme="minorHAnsi"/>
        </w:rPr>
        <w:t xml:space="preserve">’s expert, </w:t>
      </w:r>
      <w:proofErr w:type="spellStart"/>
      <w:r w:rsidRPr="004B2F56">
        <w:rPr>
          <w:rFonts w:eastAsia="Times New Roman" w:cstheme="minorHAnsi"/>
        </w:rPr>
        <w:t>MIEAA</w:t>
      </w:r>
      <w:proofErr w:type="spellEnd"/>
      <w:r w:rsidRPr="004B2F56">
        <w:rPr>
          <w:rFonts w:eastAsia="Times New Roman" w:cstheme="minorHAnsi"/>
        </w:rPr>
        <w:t xml:space="preserve"> expressly acknowledges that actuarial expertise independent of </w:t>
      </w:r>
      <w:proofErr w:type="spellStart"/>
      <w:r w:rsidR="009309F5" w:rsidRPr="004B2F56">
        <w:rPr>
          <w:rFonts w:eastAsia="Times New Roman" w:cstheme="minorHAnsi"/>
        </w:rPr>
        <w:t>GHMSI</w:t>
      </w:r>
      <w:proofErr w:type="spellEnd"/>
      <w:r w:rsidR="009309F5" w:rsidRPr="004B2F56">
        <w:rPr>
          <w:rFonts w:eastAsia="Times New Roman" w:cstheme="minorHAnsi"/>
        </w:rPr>
        <w:t xml:space="preserve"> </w:t>
      </w:r>
      <w:r w:rsidRPr="004B2F56">
        <w:rPr>
          <w:rFonts w:eastAsia="Times New Roman" w:cstheme="minorHAnsi"/>
        </w:rPr>
        <w:t xml:space="preserve">may aid the Commissioner, and where it does, the Commissioner should have the discretion to impose the costs of that expertise on </w:t>
      </w:r>
      <w:proofErr w:type="spellStart"/>
      <w:r w:rsidR="009309F5" w:rsidRPr="004B2F56">
        <w:rPr>
          <w:rFonts w:eastAsia="Times New Roman" w:cstheme="minorHAnsi"/>
        </w:rPr>
        <w:t>GHMSI</w:t>
      </w:r>
      <w:proofErr w:type="spellEnd"/>
      <w:r w:rsidRPr="004B2F56">
        <w:rPr>
          <w:rFonts w:eastAsia="Times New Roman" w:cstheme="minorHAnsi"/>
        </w:rPr>
        <w:t xml:space="preserve">. </w:t>
      </w:r>
    </w:p>
    <w:p w:rsidR="005062F9" w:rsidRPr="004B2F56" w:rsidRDefault="005062F9" w:rsidP="00A10E3B">
      <w:pPr>
        <w:spacing w:after="240"/>
        <w:ind w:firstLine="720"/>
        <w:jc w:val="both"/>
        <w:rPr>
          <w:rFonts w:eastAsia="Times New Roman" w:cstheme="minorHAnsi"/>
        </w:rPr>
      </w:pPr>
      <w:r w:rsidRPr="004B2F56">
        <w:rPr>
          <w:rFonts w:eastAsia="Times New Roman" w:cstheme="minorHAnsi"/>
        </w:rPr>
        <w:t>The Commissioner should exercise that discretion here. The expertise of</w:t>
      </w:r>
      <w:r w:rsidR="009003EB">
        <w:rPr>
          <w:rFonts w:eastAsia="Times New Roman" w:cstheme="minorHAnsi"/>
        </w:rPr>
        <w:t xml:space="preserve"> </w:t>
      </w:r>
      <w:r w:rsidR="008E7F91">
        <w:rPr>
          <w:rFonts w:eastAsia="Times New Roman" w:cstheme="minorHAnsi"/>
        </w:rPr>
        <w:t>Appleseed</w:t>
      </w:r>
      <w:r w:rsidRPr="004B2F56">
        <w:rPr>
          <w:rFonts w:eastAsia="Times New Roman" w:cstheme="minorHAnsi"/>
        </w:rPr>
        <w:t>’s independent actuarial expert has directly aided the Commissioner in resolving this case, and it will continue to do so</w:t>
      </w:r>
      <w:r w:rsidR="004F2E49">
        <w:rPr>
          <w:rFonts w:eastAsia="Times New Roman" w:cstheme="minorHAnsi"/>
        </w:rPr>
        <w:t xml:space="preserve"> in these remand proceedings.</w:t>
      </w:r>
      <w:r w:rsidRPr="004B2F56">
        <w:rPr>
          <w:rFonts w:eastAsia="Times New Roman" w:cstheme="minorHAnsi"/>
        </w:rPr>
        <w:t xml:space="preserve"> Indeed, key information needed to resolve both the equity portfolio and attribution issues now before the Commissioner comes solely from</w:t>
      </w:r>
      <w:r w:rsidR="009003EB">
        <w:rPr>
          <w:rFonts w:eastAsia="Times New Roman" w:cstheme="minorHAnsi"/>
        </w:rPr>
        <w:t xml:space="preserve"> </w:t>
      </w:r>
      <w:r w:rsidR="008E7F91">
        <w:rPr>
          <w:rFonts w:eastAsia="Times New Roman" w:cstheme="minorHAnsi"/>
        </w:rPr>
        <w:t>Appleseed</w:t>
      </w:r>
      <w:r w:rsidRPr="004B2F56">
        <w:rPr>
          <w:rFonts w:eastAsia="Times New Roman" w:cstheme="minorHAnsi"/>
        </w:rPr>
        <w:t>’s expert</w:t>
      </w:r>
      <w:r w:rsidR="009309F5" w:rsidRPr="004B2F56">
        <w:rPr>
          <w:rFonts w:eastAsia="Times New Roman" w:cstheme="minorHAnsi"/>
        </w:rPr>
        <w:t>.</w:t>
      </w:r>
      <w:r w:rsidR="007D4667">
        <w:rPr>
          <w:rFonts w:eastAsia="Times New Roman" w:cstheme="minorHAnsi"/>
        </w:rPr>
        <w:t xml:space="preserve"> </w:t>
      </w:r>
      <w:r w:rsidR="009309F5" w:rsidRPr="004B2F56">
        <w:rPr>
          <w:rFonts w:eastAsia="Times New Roman" w:cstheme="minorHAnsi"/>
        </w:rPr>
        <w:t>A</w:t>
      </w:r>
      <w:r w:rsidRPr="004B2F56">
        <w:rPr>
          <w:rFonts w:eastAsia="Times New Roman" w:cstheme="minorHAnsi"/>
        </w:rPr>
        <w:t xml:space="preserve">lthough </w:t>
      </w:r>
      <w:proofErr w:type="spellStart"/>
      <w:r w:rsidRPr="004B2F56">
        <w:rPr>
          <w:rFonts w:eastAsia="Times New Roman" w:cstheme="minorHAnsi"/>
        </w:rPr>
        <w:t>Milliman</w:t>
      </w:r>
      <w:proofErr w:type="spellEnd"/>
      <w:r w:rsidRPr="004B2F56">
        <w:rPr>
          <w:rFonts w:eastAsia="Times New Roman" w:cstheme="minorHAnsi"/>
        </w:rPr>
        <w:t xml:space="preserve"> and Rector both determined that those issues were properly addressed, the Court of Appeals rejected those determinations.</w:t>
      </w:r>
    </w:p>
    <w:p w:rsidR="005062F9" w:rsidRPr="004B2F56" w:rsidRDefault="009309F5" w:rsidP="00A10E3B">
      <w:pPr>
        <w:spacing w:after="240"/>
        <w:ind w:firstLine="720"/>
        <w:jc w:val="both"/>
        <w:rPr>
          <w:rFonts w:eastAsia="Times New Roman" w:cstheme="minorHAnsi"/>
        </w:rPr>
      </w:pPr>
      <w:r w:rsidRPr="004B2F56">
        <w:rPr>
          <w:rFonts w:eastAsia="Times New Roman" w:cstheme="minorHAnsi"/>
        </w:rPr>
        <w:t>I</w:t>
      </w:r>
      <w:r w:rsidR="005062F9" w:rsidRPr="004B2F56">
        <w:rPr>
          <w:rFonts w:eastAsia="Times New Roman" w:cstheme="minorHAnsi"/>
        </w:rPr>
        <w:t xml:space="preserve">t is </w:t>
      </w:r>
      <w:r w:rsidRPr="004B2F56">
        <w:rPr>
          <w:rFonts w:eastAsia="Times New Roman" w:cstheme="minorHAnsi"/>
        </w:rPr>
        <w:t xml:space="preserve">important </w:t>
      </w:r>
      <w:r w:rsidR="0030289F" w:rsidRPr="004B2F56">
        <w:rPr>
          <w:rFonts w:eastAsia="Times New Roman" w:cstheme="minorHAnsi"/>
        </w:rPr>
        <w:t xml:space="preserve">to the implementation of </w:t>
      </w:r>
      <w:proofErr w:type="spellStart"/>
      <w:r w:rsidR="0030289F" w:rsidRPr="004B2F56">
        <w:rPr>
          <w:rFonts w:eastAsia="Times New Roman" w:cstheme="minorHAnsi"/>
        </w:rPr>
        <w:t>MIEAA</w:t>
      </w:r>
      <w:proofErr w:type="spellEnd"/>
      <w:r w:rsidR="0030289F" w:rsidRPr="004B2F56">
        <w:rPr>
          <w:rFonts w:eastAsia="Times New Roman" w:cstheme="minorHAnsi"/>
        </w:rPr>
        <w:t xml:space="preserve"> to make it possible for </w:t>
      </w:r>
      <w:r w:rsidR="005062F9" w:rsidRPr="004B2F56">
        <w:rPr>
          <w:rFonts w:eastAsia="Times New Roman" w:cstheme="minorHAnsi"/>
        </w:rPr>
        <w:t xml:space="preserve">a small nonprofit </w:t>
      </w:r>
      <w:r w:rsidR="0030289F" w:rsidRPr="004B2F56">
        <w:rPr>
          <w:rFonts w:eastAsia="Times New Roman" w:cstheme="minorHAnsi"/>
        </w:rPr>
        <w:t xml:space="preserve">to pursue this matter before the Commission and in the </w:t>
      </w:r>
      <w:r w:rsidR="00436168">
        <w:rPr>
          <w:rFonts w:eastAsia="Times New Roman" w:cstheme="minorHAnsi"/>
        </w:rPr>
        <w:t>C</w:t>
      </w:r>
      <w:r w:rsidR="0030289F" w:rsidRPr="004B2F56">
        <w:rPr>
          <w:rFonts w:eastAsia="Times New Roman" w:cstheme="minorHAnsi"/>
        </w:rPr>
        <w:t xml:space="preserve">ourt </w:t>
      </w:r>
      <w:r w:rsidR="005062F9" w:rsidRPr="004B2F56">
        <w:rPr>
          <w:rFonts w:eastAsia="Times New Roman" w:cstheme="minorHAnsi"/>
        </w:rPr>
        <w:t>in service to the public</w:t>
      </w:r>
      <w:r w:rsidR="0030289F" w:rsidRPr="004B2F56">
        <w:rPr>
          <w:rFonts w:eastAsia="Times New Roman" w:cstheme="minorHAnsi"/>
        </w:rPr>
        <w:t>.</w:t>
      </w:r>
      <w:r w:rsidR="007D4667">
        <w:rPr>
          <w:rFonts w:eastAsia="Times New Roman" w:cstheme="minorHAnsi"/>
        </w:rPr>
        <w:t xml:space="preserve"> </w:t>
      </w:r>
      <w:r w:rsidR="0030289F" w:rsidRPr="004B2F56">
        <w:rPr>
          <w:rFonts w:eastAsia="Times New Roman" w:cstheme="minorHAnsi"/>
        </w:rPr>
        <w:t xml:space="preserve">Allowing </w:t>
      </w:r>
      <w:r w:rsidR="005062F9" w:rsidRPr="004B2F56">
        <w:rPr>
          <w:rFonts w:eastAsia="Times New Roman" w:cstheme="minorHAnsi"/>
        </w:rPr>
        <w:t>recover</w:t>
      </w:r>
      <w:r w:rsidR="0030289F" w:rsidRPr="004B2F56">
        <w:rPr>
          <w:rFonts w:eastAsia="Times New Roman" w:cstheme="minorHAnsi"/>
        </w:rPr>
        <w:t>y</w:t>
      </w:r>
      <w:r w:rsidR="005062F9" w:rsidRPr="004B2F56">
        <w:rPr>
          <w:rFonts w:eastAsia="Times New Roman" w:cstheme="minorHAnsi"/>
        </w:rPr>
        <w:t xml:space="preserve"> </w:t>
      </w:r>
      <w:r w:rsidR="0030289F" w:rsidRPr="004B2F56">
        <w:rPr>
          <w:rFonts w:eastAsia="Times New Roman" w:cstheme="minorHAnsi"/>
        </w:rPr>
        <w:t xml:space="preserve">of </w:t>
      </w:r>
      <w:r w:rsidR="005062F9" w:rsidRPr="004B2F56">
        <w:rPr>
          <w:rFonts w:eastAsia="Times New Roman" w:cstheme="minorHAnsi"/>
        </w:rPr>
        <w:t>at least part of its</w:t>
      </w:r>
      <w:r w:rsidR="009003EB">
        <w:rPr>
          <w:rFonts w:eastAsia="Times New Roman" w:cstheme="minorHAnsi"/>
        </w:rPr>
        <w:t xml:space="preserve"> </w:t>
      </w:r>
      <w:r w:rsidR="008E7F91">
        <w:rPr>
          <w:rFonts w:eastAsia="Times New Roman" w:cstheme="minorHAnsi"/>
        </w:rPr>
        <w:t>Appleseed</w:t>
      </w:r>
      <w:r w:rsidR="00513560">
        <w:rPr>
          <w:rFonts w:eastAsia="Times New Roman" w:cstheme="minorHAnsi"/>
        </w:rPr>
        <w:t xml:space="preserve">’s </w:t>
      </w:r>
      <w:r w:rsidR="0030289F" w:rsidRPr="004B2F56">
        <w:rPr>
          <w:rFonts w:eastAsia="Times New Roman" w:cstheme="minorHAnsi"/>
        </w:rPr>
        <w:t xml:space="preserve">out-of-pocket </w:t>
      </w:r>
      <w:r w:rsidR="005062F9" w:rsidRPr="004B2F56">
        <w:rPr>
          <w:rFonts w:eastAsia="Times New Roman" w:cstheme="minorHAnsi"/>
        </w:rPr>
        <w:t>costs</w:t>
      </w:r>
      <w:r w:rsidR="00C007B4">
        <w:rPr>
          <w:rFonts w:eastAsia="Times New Roman" w:cstheme="minorHAnsi"/>
        </w:rPr>
        <w:t xml:space="preserve"> (</w:t>
      </w:r>
      <w:r w:rsidR="00513560">
        <w:rPr>
          <w:rFonts w:eastAsia="Times New Roman" w:cstheme="minorHAnsi"/>
        </w:rPr>
        <w:t>which are</w:t>
      </w:r>
      <w:r w:rsidR="00C007B4">
        <w:rPr>
          <w:rFonts w:eastAsia="Times New Roman" w:cstheme="minorHAnsi"/>
        </w:rPr>
        <w:t xml:space="preserve"> </w:t>
      </w:r>
      <w:r w:rsidR="00BE2DB8">
        <w:rPr>
          <w:rFonts w:eastAsia="Times New Roman" w:cstheme="minorHAnsi"/>
        </w:rPr>
        <w:t xml:space="preserve">not </w:t>
      </w:r>
      <w:r w:rsidR="00C007B4">
        <w:rPr>
          <w:rFonts w:eastAsia="Times New Roman" w:cstheme="minorHAnsi"/>
        </w:rPr>
        <w:t>covered by pro bono</w:t>
      </w:r>
      <w:r w:rsidR="00513560">
        <w:rPr>
          <w:rFonts w:eastAsia="Times New Roman" w:cstheme="minorHAnsi"/>
        </w:rPr>
        <w:t>)</w:t>
      </w:r>
      <w:r w:rsidR="005062F9" w:rsidRPr="004B2F56">
        <w:rPr>
          <w:rFonts w:eastAsia="Times New Roman" w:cstheme="minorHAnsi"/>
        </w:rPr>
        <w:t xml:space="preserve"> for that </w:t>
      </w:r>
      <w:r w:rsidR="0030289F" w:rsidRPr="004B2F56">
        <w:rPr>
          <w:rFonts w:eastAsia="Times New Roman" w:cstheme="minorHAnsi"/>
        </w:rPr>
        <w:t>long-term effort is key to that role</w:t>
      </w:r>
      <w:r w:rsidR="005062F9" w:rsidRPr="004B2F56">
        <w:rPr>
          <w:rFonts w:eastAsia="Times New Roman" w:cstheme="minorHAnsi"/>
        </w:rPr>
        <w:t xml:space="preserve">. </w:t>
      </w:r>
    </w:p>
    <w:p w:rsidR="005062F9" w:rsidRPr="004B2F56" w:rsidRDefault="005062F9" w:rsidP="00F43DB3">
      <w:pPr>
        <w:spacing w:after="240"/>
        <w:ind w:firstLine="720"/>
        <w:jc w:val="both"/>
      </w:pPr>
      <w:r w:rsidRPr="004B2F56">
        <w:lastRenderedPageBreak/>
        <w:t>In addition to</w:t>
      </w:r>
      <w:r w:rsidR="009003EB">
        <w:t xml:space="preserve"> </w:t>
      </w:r>
      <w:r w:rsidR="008E7F91">
        <w:t>Appleseed</w:t>
      </w:r>
      <w:r w:rsidRPr="004B2F56">
        <w:t xml:space="preserve">’s prior showing that reimbursement of our actuarial fees is justified, the author of the statute, Councilmember </w:t>
      </w:r>
      <w:proofErr w:type="spellStart"/>
      <w:r w:rsidRPr="004B2F56">
        <w:t>Cheh</w:t>
      </w:r>
      <w:proofErr w:type="spellEnd"/>
      <w:r w:rsidRPr="004B2F56">
        <w:t>, confirmed the importance of such compensation in her amicus brief to the Court of Appeals:</w:t>
      </w:r>
      <w:r w:rsidR="007D4667">
        <w:t xml:space="preserve"> </w:t>
      </w:r>
    </w:p>
    <w:p w:rsidR="005062F9" w:rsidRPr="004B2F56" w:rsidRDefault="005062F9" w:rsidP="00A10E3B">
      <w:pPr>
        <w:spacing w:after="240"/>
        <w:ind w:left="720" w:right="540"/>
        <w:jc w:val="both"/>
        <w:rPr>
          <w:rFonts w:cstheme="minorHAnsi"/>
        </w:rPr>
      </w:pPr>
      <w:r w:rsidRPr="004B2F56">
        <w:rPr>
          <w:rFonts w:cstheme="minorHAnsi"/>
        </w:rPr>
        <w:t xml:space="preserve">[I]t is important that </w:t>
      </w:r>
      <w:proofErr w:type="spellStart"/>
      <w:r w:rsidRPr="004B2F56">
        <w:rPr>
          <w:rFonts w:cstheme="minorHAnsi"/>
        </w:rPr>
        <w:t>GHMSI</w:t>
      </w:r>
      <w:proofErr w:type="spellEnd"/>
      <w:r w:rsidRPr="004B2F56">
        <w:rPr>
          <w:rFonts w:cstheme="minorHAnsi"/>
        </w:rPr>
        <w:t xml:space="preserve"> be required to compens</w:t>
      </w:r>
      <w:r w:rsidR="00ED46EE">
        <w:rPr>
          <w:rFonts w:cstheme="minorHAnsi"/>
        </w:rPr>
        <w:t>ate DC Appleseed for its out-of</w:t>
      </w:r>
      <w:r w:rsidRPr="004B2F56">
        <w:rPr>
          <w:rFonts w:cstheme="minorHAnsi"/>
        </w:rPr>
        <w:t xml:space="preserve">-pocket actuarial fees – something that the </w:t>
      </w:r>
      <w:proofErr w:type="spellStart"/>
      <w:r w:rsidRPr="004B2F56">
        <w:rPr>
          <w:rFonts w:cstheme="minorHAnsi"/>
        </w:rPr>
        <w:t>DISB</w:t>
      </w:r>
      <w:proofErr w:type="spellEnd"/>
      <w:r w:rsidRPr="004B2F56">
        <w:rPr>
          <w:rFonts w:cstheme="minorHAnsi"/>
        </w:rPr>
        <w:t xml:space="preserve"> Commissioner failed to address. DC Appleseed is a small nonprofit that works to improve the lives of District residents. Its work is invaluable to the D.C. Council working toward this common goal. In this David versus Goliath matter, DC Appleseed’s resources are far outmatched by </w:t>
      </w:r>
      <w:proofErr w:type="spellStart"/>
      <w:r w:rsidRPr="004B2F56">
        <w:rPr>
          <w:rFonts w:cstheme="minorHAnsi"/>
        </w:rPr>
        <w:t>GHMSI</w:t>
      </w:r>
      <w:proofErr w:type="spellEnd"/>
      <w:r w:rsidRPr="004B2F56">
        <w:rPr>
          <w:rFonts w:cstheme="minorHAnsi"/>
        </w:rPr>
        <w:t>, and it has incurred out-of-pocket actuarial fees [of $432,000] which, for DC Appleseed, represent a significant amount of its relatively small budget.</w:t>
      </w:r>
      <w:r w:rsidR="00396724">
        <w:rPr>
          <w:rStyle w:val="FootnoteReference"/>
          <w:rFonts w:cstheme="minorHAnsi"/>
        </w:rPr>
        <w:footnoteReference w:id="14"/>
      </w:r>
      <w:r w:rsidRPr="004B2F56">
        <w:rPr>
          <w:rFonts w:cstheme="minorHAnsi"/>
        </w:rPr>
        <w:t xml:space="preserve"> </w:t>
      </w:r>
    </w:p>
    <w:p w:rsidR="005062F9" w:rsidRPr="004B2F56" w:rsidRDefault="005062F9" w:rsidP="00225B48">
      <w:pPr>
        <w:spacing w:after="240"/>
        <w:ind w:left="720" w:right="720"/>
        <w:jc w:val="both"/>
        <w:rPr>
          <w:rFonts w:cstheme="minorHAnsi"/>
        </w:rPr>
      </w:pPr>
      <w:r w:rsidRPr="004B2F56">
        <w:rPr>
          <w:rFonts w:cstheme="minorHAnsi"/>
        </w:rPr>
        <w:t>We must encourage our public organizations to do this kind of work.</w:t>
      </w:r>
      <w:r w:rsidR="001C7D1A">
        <w:rPr>
          <w:rFonts w:cstheme="minorHAnsi"/>
        </w:rPr>
        <w:t xml:space="preserve"> </w:t>
      </w:r>
      <w:r w:rsidRPr="004B2F56">
        <w:rPr>
          <w:rFonts w:cstheme="minorHAnsi"/>
        </w:rPr>
        <w:t xml:space="preserve">Here, this means that apart from the exact dollar outcome of the </w:t>
      </w:r>
      <w:proofErr w:type="spellStart"/>
      <w:r w:rsidRPr="004B2F56">
        <w:rPr>
          <w:rFonts w:cstheme="minorHAnsi"/>
        </w:rPr>
        <w:t>GHMSI</w:t>
      </w:r>
      <w:proofErr w:type="spellEnd"/>
      <w:r w:rsidRPr="004B2F56">
        <w:rPr>
          <w:rFonts w:cstheme="minorHAnsi"/>
        </w:rPr>
        <w:t xml:space="preserve"> excess surplus issue, DC Appleseed should be reimbursed for the fees paid to the actuarial experts, who have provided vitally important input at every stage of years of the </w:t>
      </w:r>
      <w:proofErr w:type="spellStart"/>
      <w:r w:rsidRPr="004B2F56">
        <w:rPr>
          <w:rFonts w:cstheme="minorHAnsi"/>
        </w:rPr>
        <w:t>DISB</w:t>
      </w:r>
      <w:proofErr w:type="spellEnd"/>
      <w:r w:rsidRPr="004B2F56">
        <w:rPr>
          <w:rFonts w:cstheme="minorHAnsi"/>
        </w:rPr>
        <w:t xml:space="preserve"> proceedings. </w:t>
      </w:r>
      <w:proofErr w:type="spellStart"/>
      <w:r w:rsidRPr="004B2F56">
        <w:rPr>
          <w:rFonts w:cstheme="minorHAnsi"/>
        </w:rPr>
        <w:t>DISB</w:t>
      </w:r>
      <w:proofErr w:type="spellEnd"/>
      <w:r w:rsidRPr="004B2F56">
        <w:rPr>
          <w:rFonts w:cstheme="minorHAnsi"/>
        </w:rPr>
        <w:t xml:space="preserve"> had the discretion to award these fees but failed even to consider them, which was clear error on </w:t>
      </w:r>
      <w:proofErr w:type="spellStart"/>
      <w:r w:rsidRPr="004B2F56">
        <w:rPr>
          <w:rFonts w:cstheme="minorHAnsi"/>
        </w:rPr>
        <w:t>DISB’s</w:t>
      </w:r>
      <w:proofErr w:type="spellEnd"/>
      <w:r w:rsidRPr="004B2F56">
        <w:rPr>
          <w:rFonts w:cstheme="minorHAnsi"/>
        </w:rPr>
        <w:t xml:space="preserve"> part. </w:t>
      </w:r>
    </w:p>
    <w:p w:rsidR="005062F9" w:rsidRPr="004B2F56" w:rsidRDefault="005062F9" w:rsidP="0027761B">
      <w:pPr>
        <w:spacing w:after="240"/>
        <w:rPr>
          <w:rFonts w:cstheme="minorHAnsi"/>
        </w:rPr>
      </w:pPr>
      <w:proofErr w:type="spellStart"/>
      <w:r w:rsidRPr="00CE7B43">
        <w:rPr>
          <w:rFonts w:cstheme="minorHAnsi"/>
        </w:rPr>
        <w:t>Che</w:t>
      </w:r>
      <w:r w:rsidR="00A10E3B" w:rsidRPr="00CE7B43">
        <w:rPr>
          <w:rFonts w:cstheme="minorHAnsi"/>
        </w:rPr>
        <w:t>h</w:t>
      </w:r>
      <w:proofErr w:type="spellEnd"/>
      <w:r w:rsidRPr="00CE7B43">
        <w:rPr>
          <w:rFonts w:cstheme="minorHAnsi"/>
        </w:rPr>
        <w:t xml:space="preserve"> Amicus Brief</w:t>
      </w:r>
      <w:r w:rsidR="00396724">
        <w:rPr>
          <w:rFonts w:cstheme="minorHAnsi"/>
        </w:rPr>
        <w:t xml:space="preserve"> at</w:t>
      </w:r>
      <w:r w:rsidRPr="00CE7B43">
        <w:rPr>
          <w:rFonts w:cstheme="minorHAnsi"/>
        </w:rPr>
        <w:t xml:space="preserve"> 8.</w:t>
      </w:r>
    </w:p>
    <w:p w:rsidR="005062F9" w:rsidRPr="004B2F56" w:rsidRDefault="005062F9" w:rsidP="00A10E3B">
      <w:pPr>
        <w:spacing w:after="240"/>
        <w:ind w:firstLine="720"/>
        <w:jc w:val="both"/>
        <w:rPr>
          <w:rFonts w:cstheme="minorHAnsi"/>
        </w:rPr>
      </w:pPr>
      <w:r w:rsidRPr="004B2F56">
        <w:rPr>
          <w:rFonts w:cstheme="minorHAnsi"/>
        </w:rPr>
        <w:t xml:space="preserve">Viewed as a whole, the Commissioner should award </w:t>
      </w:r>
      <w:r w:rsidR="00225B48" w:rsidRPr="004B2F56">
        <w:rPr>
          <w:rFonts w:cstheme="minorHAnsi"/>
        </w:rPr>
        <w:t xml:space="preserve">reimbursement of </w:t>
      </w:r>
      <w:r w:rsidRPr="004B2F56">
        <w:rPr>
          <w:rFonts w:cstheme="minorHAnsi"/>
        </w:rPr>
        <w:t xml:space="preserve">the requested </w:t>
      </w:r>
      <w:r w:rsidR="00225B48" w:rsidRPr="004B2F56">
        <w:rPr>
          <w:rFonts w:cstheme="minorHAnsi"/>
        </w:rPr>
        <w:t xml:space="preserve">out-of-pocket </w:t>
      </w:r>
      <w:r w:rsidRPr="004B2F56">
        <w:rPr>
          <w:rFonts w:cstheme="minorHAnsi"/>
        </w:rPr>
        <w:t xml:space="preserve">fees. The requested amount is small relative to the large amount of excess surplus at issue. Because it is an amount separate from </w:t>
      </w:r>
      <w:r w:rsidR="00071A25" w:rsidRPr="004B2F56">
        <w:rPr>
          <w:rFonts w:cstheme="minorHAnsi"/>
        </w:rPr>
        <w:t xml:space="preserve">and in addition to </w:t>
      </w:r>
      <w:proofErr w:type="spellStart"/>
      <w:r w:rsidRPr="004B2F56">
        <w:rPr>
          <w:rFonts w:cstheme="minorHAnsi"/>
        </w:rPr>
        <w:t>GHMSI’s</w:t>
      </w:r>
      <w:proofErr w:type="spellEnd"/>
      <w:r w:rsidRPr="004B2F56">
        <w:rPr>
          <w:rFonts w:cstheme="minorHAnsi"/>
        </w:rPr>
        <w:t xml:space="preserve"> excess surplus, it will not diminish the amount </w:t>
      </w:r>
      <w:r w:rsidR="00225B48" w:rsidRPr="004B2F56">
        <w:rPr>
          <w:rFonts w:cstheme="minorHAnsi"/>
        </w:rPr>
        <w:t>reinvested in community health in the District</w:t>
      </w:r>
      <w:r w:rsidRPr="004B2F56">
        <w:rPr>
          <w:rFonts w:cstheme="minorHAnsi"/>
        </w:rPr>
        <w:t>, and it will help</w:t>
      </w:r>
      <w:r w:rsidR="009003EB">
        <w:rPr>
          <w:rFonts w:cstheme="minorHAnsi"/>
        </w:rPr>
        <w:t xml:space="preserve"> </w:t>
      </w:r>
      <w:r w:rsidR="008E7F91">
        <w:rPr>
          <w:rFonts w:cstheme="minorHAnsi"/>
        </w:rPr>
        <w:t>Appleseed</w:t>
      </w:r>
      <w:r w:rsidRPr="004B2F56">
        <w:rPr>
          <w:rFonts w:cstheme="minorHAnsi"/>
        </w:rPr>
        <w:t xml:space="preserve"> to continue to monitor </w:t>
      </w:r>
      <w:proofErr w:type="spellStart"/>
      <w:r w:rsidRPr="004B2F56">
        <w:rPr>
          <w:rFonts w:cstheme="minorHAnsi"/>
        </w:rPr>
        <w:t>GHMSI’s</w:t>
      </w:r>
      <w:proofErr w:type="spellEnd"/>
      <w:r w:rsidRPr="004B2F56">
        <w:rPr>
          <w:rFonts w:cstheme="minorHAnsi"/>
        </w:rPr>
        <w:t xml:space="preserve"> activities in this proceeding as the company spends down its excess surplus.</w:t>
      </w:r>
      <w:r w:rsidR="007D4667">
        <w:rPr>
          <w:rFonts w:cstheme="minorHAnsi"/>
        </w:rPr>
        <w:t xml:space="preserve"> </w:t>
      </w:r>
    </w:p>
    <w:p w:rsidR="005062F9" w:rsidRPr="001C7D1A" w:rsidRDefault="009657E8" w:rsidP="00B14007">
      <w:pPr>
        <w:pStyle w:val="Heading3"/>
      </w:pPr>
      <w:bookmarkStart w:id="12" w:name="_Toc40193618"/>
      <w:r w:rsidRPr="001C7D1A">
        <w:t xml:space="preserve">Determination of an Appropriate Plan for </w:t>
      </w:r>
      <w:r w:rsidR="005062F9" w:rsidRPr="001C7D1A">
        <w:t>Community Health Reinvestment</w:t>
      </w:r>
      <w:r w:rsidRPr="001C7D1A">
        <w:t xml:space="preserve"> of </w:t>
      </w:r>
      <w:proofErr w:type="spellStart"/>
      <w:r w:rsidRPr="001C7D1A">
        <w:t>GHMSI’s</w:t>
      </w:r>
      <w:proofErr w:type="spellEnd"/>
      <w:r w:rsidRPr="001C7D1A">
        <w:t xml:space="preserve"> Excess Surplus</w:t>
      </w:r>
      <w:bookmarkEnd w:id="12"/>
    </w:p>
    <w:p w:rsidR="005062F9" w:rsidRPr="004B2F56" w:rsidRDefault="005062F9" w:rsidP="001C7D1A">
      <w:pPr>
        <w:spacing w:after="240"/>
        <w:ind w:firstLine="720"/>
        <w:jc w:val="both"/>
        <w:rPr>
          <w:rFonts w:cstheme="minorHAnsi"/>
        </w:rPr>
      </w:pPr>
      <w:r w:rsidRPr="004B2F56">
        <w:rPr>
          <w:rFonts w:cstheme="minorHAnsi"/>
        </w:rPr>
        <w:t xml:space="preserve">With respect to the ultimate use of </w:t>
      </w:r>
      <w:proofErr w:type="spellStart"/>
      <w:r w:rsidRPr="004B2F56">
        <w:rPr>
          <w:rFonts w:cstheme="minorHAnsi"/>
        </w:rPr>
        <w:t>GHMSI’s</w:t>
      </w:r>
      <w:proofErr w:type="spellEnd"/>
      <w:r w:rsidRPr="004B2F56">
        <w:rPr>
          <w:rFonts w:cstheme="minorHAnsi"/>
        </w:rPr>
        <w:t xml:space="preserve"> excess surplus, the Court of Appeals noted that the parties “extensively debated the Commissioner’s decision to order a rebate rather than some other type of community-health reinvestment.” </w:t>
      </w:r>
      <w:r w:rsidR="001C7D1A" w:rsidRPr="004B2F56">
        <w:rPr>
          <w:rFonts w:cstheme="minorHAnsi"/>
          <w:i/>
        </w:rPr>
        <w:t>D.C. Appleseed</w:t>
      </w:r>
      <w:r w:rsidR="001C7D1A" w:rsidRPr="004B2F56">
        <w:rPr>
          <w:rFonts w:cstheme="minorHAnsi"/>
        </w:rPr>
        <w:t xml:space="preserve">, 214 </w:t>
      </w:r>
      <w:proofErr w:type="spellStart"/>
      <w:r w:rsidR="001C7D1A" w:rsidRPr="004B2F56">
        <w:rPr>
          <w:rFonts w:cstheme="minorHAnsi"/>
        </w:rPr>
        <w:t>A.3d</w:t>
      </w:r>
      <w:proofErr w:type="spellEnd"/>
      <w:r w:rsidR="001C7D1A" w:rsidRPr="004B2F56">
        <w:rPr>
          <w:rFonts w:cstheme="minorHAnsi"/>
        </w:rPr>
        <w:t xml:space="preserve"> at 9</w:t>
      </w:r>
      <w:r w:rsidR="001C7D1A">
        <w:rPr>
          <w:rFonts w:cstheme="minorHAnsi"/>
        </w:rPr>
        <w:t>96</w:t>
      </w:r>
      <w:r w:rsidRPr="004B2F56">
        <w:rPr>
          <w:rFonts w:cstheme="minorHAnsi"/>
        </w:rPr>
        <w:t xml:space="preserve">. Because the Court was otherwise remanding the case for further proceedings, it left this debate for the Commissioner to address. </w:t>
      </w:r>
      <w:r w:rsidRPr="004B2F56">
        <w:rPr>
          <w:rFonts w:cstheme="minorHAnsi"/>
          <w:i/>
        </w:rPr>
        <w:t>Id.</w:t>
      </w:r>
    </w:p>
    <w:p w:rsidR="005062F9" w:rsidRPr="004B2F56" w:rsidRDefault="005062F9" w:rsidP="00A10E3B">
      <w:pPr>
        <w:spacing w:after="240"/>
        <w:ind w:firstLine="720"/>
        <w:jc w:val="both"/>
        <w:rPr>
          <w:rFonts w:cstheme="minorHAnsi"/>
        </w:rPr>
      </w:pPr>
      <w:proofErr w:type="spellStart"/>
      <w:r w:rsidRPr="004B2F56">
        <w:rPr>
          <w:rFonts w:cstheme="minorHAnsi"/>
        </w:rPr>
        <w:t>MIEAA</w:t>
      </w:r>
      <w:proofErr w:type="spellEnd"/>
      <w:r w:rsidRPr="004B2F56">
        <w:rPr>
          <w:rFonts w:cstheme="minorHAnsi"/>
        </w:rPr>
        <w:t xml:space="preserve"> distinguishes between expenditures of excess surplus “that promote and safeguard the public health” and expenditures “that benefit current or future subscribers.”</w:t>
      </w:r>
      <w:r w:rsidR="007D4667">
        <w:rPr>
          <w:rFonts w:cstheme="minorHAnsi"/>
        </w:rPr>
        <w:t xml:space="preserve"> </w:t>
      </w:r>
      <w:r w:rsidRPr="004B2F56">
        <w:rPr>
          <w:rFonts w:cstheme="minorHAnsi"/>
          <w:i/>
        </w:rPr>
        <w:t xml:space="preserve">See </w:t>
      </w:r>
      <w:r w:rsidRPr="004B2F56">
        <w:rPr>
          <w:rFonts w:cstheme="minorHAnsi"/>
        </w:rPr>
        <w:t>D.C. Code §31-3501(</w:t>
      </w:r>
      <w:proofErr w:type="spellStart"/>
      <w:r w:rsidRPr="004B2F56">
        <w:rPr>
          <w:rFonts w:cstheme="minorHAnsi"/>
        </w:rPr>
        <w:t>1A</w:t>
      </w:r>
      <w:proofErr w:type="spellEnd"/>
      <w:r w:rsidRPr="004B2F56">
        <w:rPr>
          <w:rFonts w:cstheme="minorHAnsi"/>
        </w:rPr>
        <w:t>). Both are within the definition of “community health reinvestment,” but each is distinct from the other. The real-life differences between the two are, of course, significant.</w:t>
      </w:r>
    </w:p>
    <w:p w:rsidR="005062F9" w:rsidRPr="004B2F56" w:rsidRDefault="005062F9" w:rsidP="00A10E3B">
      <w:pPr>
        <w:spacing w:after="240"/>
        <w:ind w:firstLine="720"/>
        <w:jc w:val="both"/>
        <w:rPr>
          <w:rFonts w:cstheme="minorHAnsi"/>
        </w:rPr>
      </w:pPr>
      <w:r w:rsidRPr="004B2F56">
        <w:rPr>
          <w:rFonts w:cstheme="minorHAnsi"/>
        </w:rPr>
        <w:lastRenderedPageBreak/>
        <w:t xml:space="preserve">Appleseed explained to the Court of Appeals that the Commissioner’s rebate order failed to give sufficient consideration to the possibility of requiring that at least part of </w:t>
      </w:r>
      <w:proofErr w:type="spellStart"/>
      <w:r w:rsidRPr="004B2F56">
        <w:rPr>
          <w:rFonts w:cstheme="minorHAnsi"/>
        </w:rPr>
        <w:t>GHMSI’s</w:t>
      </w:r>
      <w:proofErr w:type="spellEnd"/>
      <w:r w:rsidRPr="004B2F56">
        <w:rPr>
          <w:rFonts w:cstheme="minorHAnsi"/>
        </w:rPr>
        <w:t xml:space="preserve"> excess surplus be directed to addressing community health needs</w:t>
      </w:r>
      <w:r w:rsidR="00225B48" w:rsidRPr="004B2F56">
        <w:rPr>
          <w:rFonts w:cstheme="minorHAnsi"/>
        </w:rPr>
        <w:t xml:space="preserve"> in the District</w:t>
      </w:r>
      <w:r w:rsidRPr="004B2F56">
        <w:rPr>
          <w:rFonts w:cstheme="minorHAnsi"/>
        </w:rPr>
        <w:t>, rather than exclusively as rebates to current subscribers (Opening Brief</w:t>
      </w:r>
      <w:r w:rsidR="00396724">
        <w:rPr>
          <w:rFonts w:cstheme="minorHAnsi"/>
        </w:rPr>
        <w:t xml:space="preserve"> at</w:t>
      </w:r>
      <w:r w:rsidRPr="004B2F56">
        <w:rPr>
          <w:rFonts w:cstheme="minorHAnsi"/>
        </w:rPr>
        <w:t xml:space="preserve"> 40-44). In the present posture of the case – including </w:t>
      </w:r>
      <w:proofErr w:type="spellStart"/>
      <w:r w:rsidRPr="004B2F56">
        <w:rPr>
          <w:rFonts w:cstheme="minorHAnsi"/>
        </w:rPr>
        <w:t>GHMSI’s</w:t>
      </w:r>
      <w:proofErr w:type="spellEnd"/>
      <w:r w:rsidRPr="004B2F56">
        <w:rPr>
          <w:rFonts w:cstheme="minorHAnsi"/>
        </w:rPr>
        <w:t xml:space="preserve"> decade-long delay in spending down its excess surplus – rebating all or most of the excess to subscribers is simply not reasonable. </w:t>
      </w:r>
    </w:p>
    <w:p w:rsidR="005062F9" w:rsidRPr="004B2F56" w:rsidRDefault="005062F9" w:rsidP="00A10E3B">
      <w:pPr>
        <w:spacing w:after="240"/>
        <w:ind w:firstLine="720"/>
        <w:jc w:val="both"/>
        <w:rPr>
          <w:rFonts w:cstheme="minorHAnsi"/>
        </w:rPr>
      </w:pPr>
      <w:r w:rsidRPr="004B2F56">
        <w:rPr>
          <w:rFonts w:cstheme="minorHAnsi"/>
        </w:rPr>
        <w:t xml:space="preserve">Several strong reasons support this view. First, the D.C. Council’s principal purpose in passing the Act was to use </w:t>
      </w:r>
      <w:proofErr w:type="spellStart"/>
      <w:r w:rsidRPr="004B2F56">
        <w:rPr>
          <w:rFonts w:cstheme="minorHAnsi"/>
        </w:rPr>
        <w:t>GHMSI’s</w:t>
      </w:r>
      <w:proofErr w:type="spellEnd"/>
      <w:r w:rsidRPr="004B2F56">
        <w:rPr>
          <w:rFonts w:cstheme="minorHAnsi"/>
        </w:rPr>
        <w:t xml:space="preserve"> excess surplus to address the “wide variety” of “healthcare issues” that cause District residents to “fight[] an uphill battle in elevating the quality and expectancy of their lives.” Committee on Public Serv. &amp; Consumer Affairs, Report on Bill 17-934, </w:t>
      </w:r>
      <w:proofErr w:type="spellStart"/>
      <w:r w:rsidRPr="004B2F56">
        <w:rPr>
          <w:rFonts w:cstheme="minorHAnsi"/>
        </w:rPr>
        <w:t>MIEAA</w:t>
      </w:r>
      <w:proofErr w:type="spellEnd"/>
      <w:r w:rsidRPr="004B2F56">
        <w:rPr>
          <w:rFonts w:cstheme="minorHAnsi"/>
        </w:rPr>
        <w:t>, at 9 (Oct. 17, 2008). The Commissioner adopted as his remedial standard that the remedy must “best serve []” this purpose of the Act (along with its “fair</w:t>
      </w:r>
      <w:r w:rsidR="005F6C95">
        <w:rPr>
          <w:rFonts w:cstheme="minorHAnsi"/>
        </w:rPr>
        <w:t xml:space="preserve"> and equitable” requirement). </w:t>
      </w:r>
      <w:proofErr w:type="spellStart"/>
      <w:r w:rsidR="005F6C95">
        <w:rPr>
          <w:rFonts w:cstheme="minorHAnsi"/>
        </w:rPr>
        <w:t>A</w:t>
      </w:r>
      <w:r w:rsidRPr="004B2F56">
        <w:rPr>
          <w:rFonts w:cstheme="minorHAnsi"/>
        </w:rPr>
        <w:t>4139</w:t>
      </w:r>
      <w:proofErr w:type="spellEnd"/>
      <w:r w:rsidRPr="004B2F56">
        <w:rPr>
          <w:rFonts w:cstheme="minorHAnsi"/>
        </w:rPr>
        <w:t xml:space="preserve">. Across-the-board rebates </w:t>
      </w:r>
      <w:r w:rsidR="00677FBF" w:rsidRPr="004B2F56">
        <w:rPr>
          <w:rFonts w:cstheme="minorHAnsi"/>
        </w:rPr>
        <w:t xml:space="preserve">to individual current subscribers </w:t>
      </w:r>
      <w:r w:rsidRPr="004B2F56">
        <w:rPr>
          <w:rFonts w:cstheme="minorHAnsi"/>
        </w:rPr>
        <w:t>do not effectively serve this purpose</w:t>
      </w:r>
      <w:r w:rsidR="00071A25" w:rsidRPr="004B2F56">
        <w:rPr>
          <w:rFonts w:cstheme="minorHAnsi"/>
        </w:rPr>
        <w:t xml:space="preserve">, let alone </w:t>
      </w:r>
      <w:r w:rsidR="00A72C41" w:rsidRPr="004B2F56">
        <w:rPr>
          <w:rFonts w:cstheme="minorHAnsi"/>
        </w:rPr>
        <w:t xml:space="preserve">(to quote the Commissioner’s standard) </w:t>
      </w:r>
      <w:r w:rsidR="00071A25" w:rsidRPr="004B2F56">
        <w:rPr>
          <w:rFonts w:cstheme="minorHAnsi"/>
        </w:rPr>
        <w:t>“best-serve” it</w:t>
      </w:r>
      <w:r w:rsidRPr="004B2F56">
        <w:rPr>
          <w:rFonts w:cstheme="minorHAnsi"/>
        </w:rPr>
        <w:t>.</w:t>
      </w:r>
      <w:r w:rsidR="007D4667">
        <w:rPr>
          <w:rFonts w:cstheme="minorHAnsi"/>
        </w:rPr>
        <w:t xml:space="preserve"> </w:t>
      </w:r>
    </w:p>
    <w:p w:rsidR="005062F9" w:rsidRPr="004B2F56" w:rsidRDefault="005062F9" w:rsidP="00A10E3B">
      <w:pPr>
        <w:spacing w:after="240"/>
        <w:ind w:firstLine="720"/>
        <w:jc w:val="both"/>
        <w:rPr>
          <w:rFonts w:cstheme="minorHAnsi"/>
        </w:rPr>
      </w:pPr>
      <w:r w:rsidRPr="004B2F56">
        <w:rPr>
          <w:rFonts w:cstheme="minorHAnsi"/>
        </w:rPr>
        <w:t xml:space="preserve">Second, more than eight years after the surplus year at issue (2011), rebates to </w:t>
      </w:r>
      <w:r w:rsidR="00677FBF" w:rsidRPr="004B2F56">
        <w:rPr>
          <w:rFonts w:cstheme="minorHAnsi"/>
        </w:rPr>
        <w:t xml:space="preserve">individual </w:t>
      </w:r>
      <w:r w:rsidRPr="004B2F56">
        <w:rPr>
          <w:rFonts w:cstheme="minorHAnsi"/>
        </w:rPr>
        <w:t xml:space="preserve">current subscribers would be unreasonable as a practical matter. </w:t>
      </w:r>
      <w:proofErr w:type="spellStart"/>
      <w:r w:rsidRPr="004B2F56">
        <w:rPr>
          <w:rFonts w:cstheme="minorHAnsi"/>
        </w:rPr>
        <w:t>MIEAA</w:t>
      </w:r>
      <w:proofErr w:type="spellEnd"/>
      <w:r w:rsidRPr="004B2F56">
        <w:rPr>
          <w:rFonts w:cstheme="minorHAnsi"/>
        </w:rPr>
        <w:t xml:space="preserve"> envisioned </w:t>
      </w:r>
      <w:r w:rsidR="00CF0816" w:rsidRPr="004B2F56">
        <w:rPr>
          <w:rFonts w:cstheme="minorHAnsi"/>
        </w:rPr>
        <w:t xml:space="preserve">annual filings and </w:t>
      </w:r>
      <w:r w:rsidR="008D2A67" w:rsidRPr="004B2F56">
        <w:rPr>
          <w:rFonts w:cstheme="minorHAnsi"/>
        </w:rPr>
        <w:t xml:space="preserve">prompt determinations of whether </w:t>
      </w:r>
      <w:proofErr w:type="spellStart"/>
      <w:r w:rsidR="008D2A67" w:rsidRPr="004B2F56">
        <w:rPr>
          <w:rFonts w:cstheme="minorHAnsi"/>
        </w:rPr>
        <w:t>GHMSI</w:t>
      </w:r>
      <w:proofErr w:type="spellEnd"/>
      <w:r w:rsidR="008D2A67" w:rsidRPr="004B2F56">
        <w:rPr>
          <w:rFonts w:cstheme="minorHAnsi"/>
        </w:rPr>
        <w:t xml:space="preserve"> surplus was excessive, </w:t>
      </w:r>
      <w:r w:rsidRPr="004B2F56">
        <w:rPr>
          <w:rFonts w:cstheme="minorHAnsi"/>
        </w:rPr>
        <w:t>so that</w:t>
      </w:r>
      <w:r w:rsidR="00677FBF" w:rsidRPr="004B2F56">
        <w:rPr>
          <w:rFonts w:cstheme="minorHAnsi"/>
        </w:rPr>
        <w:t xml:space="preserve">, </w:t>
      </w:r>
      <w:r w:rsidR="008D2A67" w:rsidRPr="004B2F56">
        <w:rPr>
          <w:rFonts w:cstheme="minorHAnsi"/>
        </w:rPr>
        <w:t xml:space="preserve">when the remedial choice was rebates to subscribers rather than to “support and promote the public health,” </w:t>
      </w:r>
      <w:r w:rsidR="00677FBF" w:rsidRPr="004B2F56">
        <w:rPr>
          <w:rFonts w:cstheme="minorHAnsi"/>
        </w:rPr>
        <w:t xml:space="preserve">such rebates </w:t>
      </w:r>
      <w:r w:rsidRPr="004B2F56">
        <w:rPr>
          <w:rFonts w:cstheme="minorHAnsi"/>
        </w:rPr>
        <w:t>would be promptly returned to the subscribers that had funded the excess surplus. That is now impossible. Refunding rebates to current subscribers would inevitably provide windfalls to some subscribers that did not fund any of the excess surplus, and deny refunds to many that funded the excess but are no longer subscribers. Thus, rebates would be both impermissibly under-inclusive and impermissibly over-inclusive. They would constitute an economic transfer from past subscribers to current subscribers, and they would flout the statutory standard that the spend-down of excess surplus be “fair and equitable.”</w:t>
      </w:r>
      <w:r w:rsidR="007D4667">
        <w:rPr>
          <w:rFonts w:cstheme="minorHAnsi"/>
        </w:rPr>
        <w:t xml:space="preserve"> </w:t>
      </w:r>
      <w:r w:rsidRPr="004B2F56">
        <w:rPr>
          <w:rFonts w:cstheme="minorHAnsi"/>
        </w:rPr>
        <w:t>D.C. Code § 31-356(g).</w:t>
      </w:r>
      <w:r w:rsidRPr="004B2F56">
        <w:rPr>
          <w:rStyle w:val="FootnoteReference"/>
          <w:rFonts w:cstheme="minorHAnsi"/>
        </w:rPr>
        <w:footnoteReference w:id="15"/>
      </w:r>
      <w:r w:rsidR="007D4667">
        <w:rPr>
          <w:rFonts w:cstheme="minorHAnsi"/>
        </w:rPr>
        <w:t xml:space="preserve"> </w:t>
      </w:r>
    </w:p>
    <w:p w:rsidR="005062F9" w:rsidRPr="004B2F56" w:rsidRDefault="005062F9" w:rsidP="00A10E3B">
      <w:pPr>
        <w:spacing w:after="240"/>
        <w:ind w:firstLine="720"/>
        <w:jc w:val="both"/>
        <w:rPr>
          <w:rFonts w:cstheme="minorHAnsi"/>
        </w:rPr>
      </w:pPr>
      <w:r w:rsidRPr="004B2F56">
        <w:rPr>
          <w:rFonts w:cstheme="minorHAnsi"/>
        </w:rPr>
        <w:t>In short, rebates to subscribers do not further the principal purpose of the Act, would contravene expectations with respect to the timetable for completing a surplus review, and would violate the “fair and equitable” standard. Rebates of 2011 excess surplus cannot possibly “best-serve” the purposes of the Act when the Act expressly provides an alternative remedy that squarely furthers the purposes of the Act and that does not entail the arbitrary, inequitable outcomes that would result from</w:t>
      </w:r>
      <w:r w:rsidR="00677FBF" w:rsidRPr="004B2F56">
        <w:rPr>
          <w:rFonts w:cstheme="minorHAnsi"/>
        </w:rPr>
        <w:t xml:space="preserve"> individual current subscriber</w:t>
      </w:r>
      <w:r w:rsidR="007D4667">
        <w:rPr>
          <w:rFonts w:cstheme="minorHAnsi"/>
        </w:rPr>
        <w:t xml:space="preserve"> </w:t>
      </w:r>
      <w:r w:rsidRPr="004B2F56">
        <w:rPr>
          <w:rFonts w:cstheme="minorHAnsi"/>
        </w:rPr>
        <w:t>rebates.</w:t>
      </w:r>
    </w:p>
    <w:p w:rsidR="005062F9" w:rsidRPr="004B2F56" w:rsidRDefault="005062F9" w:rsidP="00A10E3B">
      <w:pPr>
        <w:spacing w:after="240"/>
        <w:ind w:firstLine="720"/>
        <w:jc w:val="both"/>
        <w:rPr>
          <w:rFonts w:cstheme="minorHAnsi"/>
        </w:rPr>
      </w:pPr>
      <w:r w:rsidRPr="004B2F56">
        <w:rPr>
          <w:rFonts w:cstheme="minorHAnsi"/>
        </w:rPr>
        <w:t xml:space="preserve">In its recent report entitled “CareFirst’s Investment in Public Health,” </w:t>
      </w:r>
      <w:proofErr w:type="spellStart"/>
      <w:r w:rsidR="00677FBF" w:rsidRPr="004B2F56">
        <w:rPr>
          <w:rFonts w:cstheme="minorHAnsi"/>
        </w:rPr>
        <w:t>GHMSI</w:t>
      </w:r>
      <w:proofErr w:type="spellEnd"/>
      <w:r w:rsidR="00677FBF" w:rsidRPr="004B2F56">
        <w:rPr>
          <w:rFonts w:cstheme="minorHAnsi"/>
        </w:rPr>
        <w:t xml:space="preserve"> </w:t>
      </w:r>
      <w:r w:rsidRPr="004B2F56">
        <w:rPr>
          <w:rFonts w:cstheme="minorHAnsi"/>
        </w:rPr>
        <w:t>focused on three priorities for public health investment</w:t>
      </w:r>
      <w:r w:rsidR="00677FBF" w:rsidRPr="004B2F56">
        <w:rPr>
          <w:rFonts w:cstheme="minorHAnsi"/>
        </w:rPr>
        <w:t xml:space="preserve"> in the District</w:t>
      </w:r>
      <w:r w:rsidRPr="004B2F56">
        <w:rPr>
          <w:rFonts w:cstheme="minorHAnsi"/>
        </w:rPr>
        <w:t>: improving maternal and child health; empowering the region’s safety net clinics and promoting the patient-centered medical home concept; and behavioral health.</w:t>
      </w:r>
      <w:r w:rsidR="009003EB">
        <w:rPr>
          <w:rFonts w:cstheme="minorHAnsi"/>
        </w:rPr>
        <w:t xml:space="preserve"> </w:t>
      </w:r>
      <w:r w:rsidR="008E7F91">
        <w:rPr>
          <w:rFonts w:cstheme="minorHAnsi"/>
        </w:rPr>
        <w:t>Appleseed</w:t>
      </w:r>
      <w:r w:rsidRPr="004B2F56">
        <w:rPr>
          <w:rFonts w:cstheme="minorHAnsi"/>
        </w:rPr>
        <w:t xml:space="preserve"> supports these initiatives and would welcome a </w:t>
      </w:r>
      <w:r w:rsidRPr="004B2F56">
        <w:rPr>
          <w:rFonts w:cstheme="minorHAnsi"/>
        </w:rPr>
        <w:lastRenderedPageBreak/>
        <w:t xml:space="preserve">spend-down plan that </w:t>
      </w:r>
      <w:r w:rsidR="001B11AD" w:rsidRPr="004B2F56">
        <w:rPr>
          <w:rFonts w:cstheme="minorHAnsi"/>
        </w:rPr>
        <w:t>considered</w:t>
      </w:r>
      <w:r w:rsidRPr="004B2F56">
        <w:rPr>
          <w:rFonts w:cstheme="minorHAnsi"/>
        </w:rPr>
        <w:t xml:space="preserve"> them.</w:t>
      </w:r>
      <w:r w:rsidR="001B11AD" w:rsidRPr="004B2F56">
        <w:rPr>
          <w:rFonts w:cstheme="minorHAnsi"/>
        </w:rPr>
        <w:t xml:space="preserve"> At the same time, however, </w:t>
      </w:r>
      <w:r w:rsidR="00677FBF" w:rsidRPr="004B2F56">
        <w:rPr>
          <w:rFonts w:cstheme="minorHAnsi"/>
        </w:rPr>
        <w:t xml:space="preserve">the </w:t>
      </w:r>
      <w:r w:rsidR="001B11AD" w:rsidRPr="004B2F56">
        <w:rPr>
          <w:rFonts w:cstheme="minorHAnsi"/>
        </w:rPr>
        <w:t xml:space="preserve">spend-down plan approved by the Commissioner should also take into account the community health needs posed by the current </w:t>
      </w:r>
      <w:r w:rsidR="00677FBF" w:rsidRPr="004B2F56">
        <w:rPr>
          <w:rFonts w:cstheme="minorHAnsi"/>
        </w:rPr>
        <w:t xml:space="preserve">coronavirus </w:t>
      </w:r>
      <w:r w:rsidR="001B11AD" w:rsidRPr="004B2F56">
        <w:rPr>
          <w:rFonts w:cstheme="minorHAnsi"/>
        </w:rPr>
        <w:t>pandemic.</w:t>
      </w:r>
    </w:p>
    <w:p w:rsidR="005062F9" w:rsidRPr="001C7D1A" w:rsidRDefault="005062F9" w:rsidP="00B14007">
      <w:pPr>
        <w:pStyle w:val="Heading2"/>
        <w:keepNext/>
      </w:pPr>
      <w:bookmarkStart w:id="13" w:name="_Toc40193619"/>
      <w:r w:rsidRPr="001C7D1A">
        <w:rPr>
          <w:rStyle w:val="Heading1Char"/>
          <w:rFonts w:asciiTheme="minorHAnsi" w:hAnsiTheme="minorHAnsi" w:cstheme="minorHAnsi"/>
          <w:szCs w:val="24"/>
        </w:rPr>
        <w:t xml:space="preserve">Other Issues </w:t>
      </w:r>
      <w:r w:rsidR="00C23CCC" w:rsidRPr="001C7D1A">
        <w:rPr>
          <w:rStyle w:val="Heading1Char"/>
          <w:rFonts w:asciiTheme="minorHAnsi" w:hAnsiTheme="minorHAnsi" w:cstheme="minorHAnsi"/>
          <w:szCs w:val="24"/>
        </w:rPr>
        <w:t>for a</w:t>
      </w:r>
      <w:r w:rsidRPr="001C7D1A">
        <w:rPr>
          <w:rStyle w:val="Heading1Char"/>
          <w:rFonts w:asciiTheme="minorHAnsi" w:hAnsiTheme="minorHAnsi" w:cstheme="minorHAnsi"/>
          <w:szCs w:val="24"/>
        </w:rPr>
        <w:t xml:space="preserve"> </w:t>
      </w:r>
      <w:proofErr w:type="spellStart"/>
      <w:r w:rsidRPr="001C7D1A">
        <w:rPr>
          <w:rStyle w:val="Heading1Char"/>
          <w:rFonts w:asciiTheme="minorHAnsi" w:hAnsiTheme="minorHAnsi" w:cstheme="minorHAnsi"/>
          <w:szCs w:val="24"/>
        </w:rPr>
        <w:t>DISB</w:t>
      </w:r>
      <w:proofErr w:type="spellEnd"/>
      <w:r w:rsidRPr="001C7D1A">
        <w:rPr>
          <w:rStyle w:val="Heading1Char"/>
          <w:rFonts w:asciiTheme="minorHAnsi" w:hAnsiTheme="minorHAnsi" w:cstheme="minorHAnsi"/>
          <w:szCs w:val="24"/>
        </w:rPr>
        <w:t xml:space="preserve"> Final Order</w:t>
      </w:r>
      <w:bookmarkEnd w:id="13"/>
    </w:p>
    <w:p w:rsidR="00B8273B" w:rsidRPr="004B2F56" w:rsidRDefault="00B93E92" w:rsidP="00A10E3B">
      <w:pPr>
        <w:spacing w:after="240"/>
        <w:ind w:firstLine="720"/>
        <w:jc w:val="both"/>
        <w:rPr>
          <w:rFonts w:cstheme="minorHAnsi"/>
        </w:rPr>
      </w:pPr>
      <w:r w:rsidRPr="004B2F56">
        <w:rPr>
          <w:rFonts w:cstheme="minorHAnsi"/>
        </w:rPr>
        <w:t xml:space="preserve">In addition to </w:t>
      </w:r>
      <w:r w:rsidR="00677FBF" w:rsidRPr="004B2F56">
        <w:rPr>
          <w:rFonts w:cstheme="minorHAnsi"/>
        </w:rPr>
        <w:t xml:space="preserve">ordering immediate payment of the $51 million portion of excess surplus affirmed by the Court of Appeals, and </w:t>
      </w:r>
      <w:r w:rsidRPr="004B2F56">
        <w:rPr>
          <w:rFonts w:cstheme="minorHAnsi"/>
        </w:rPr>
        <w:t xml:space="preserve">resolving the five remand issues, the </w:t>
      </w:r>
      <w:r w:rsidR="00C23CCC" w:rsidRPr="004B2F56">
        <w:rPr>
          <w:rFonts w:cstheme="minorHAnsi"/>
        </w:rPr>
        <w:t>Commissioner</w:t>
      </w:r>
      <w:r w:rsidRPr="004B2F56">
        <w:rPr>
          <w:rFonts w:cstheme="minorHAnsi"/>
        </w:rPr>
        <w:t xml:space="preserve"> should address several other matters in a final order.</w:t>
      </w:r>
      <w:r w:rsidR="009003EB">
        <w:rPr>
          <w:rFonts w:cstheme="minorHAnsi"/>
        </w:rPr>
        <w:t xml:space="preserve"> </w:t>
      </w:r>
      <w:r w:rsidR="008E7F91">
        <w:rPr>
          <w:rFonts w:cstheme="minorHAnsi"/>
        </w:rPr>
        <w:t>Appleseed</w:t>
      </w:r>
      <w:r w:rsidRPr="004B2F56">
        <w:rPr>
          <w:rFonts w:cstheme="minorHAnsi"/>
        </w:rPr>
        <w:t xml:space="preserve"> addressed </w:t>
      </w:r>
      <w:r w:rsidR="00C23CCC" w:rsidRPr="004B2F56">
        <w:rPr>
          <w:rFonts w:cstheme="minorHAnsi"/>
        </w:rPr>
        <w:t>those</w:t>
      </w:r>
      <w:r w:rsidRPr="004B2F56">
        <w:rPr>
          <w:rFonts w:cstheme="minorHAnsi"/>
        </w:rPr>
        <w:t xml:space="preserve"> issues is its </w:t>
      </w:r>
      <w:r w:rsidR="00C23CCC" w:rsidRPr="004B2F56">
        <w:rPr>
          <w:rFonts w:cstheme="minorHAnsi"/>
        </w:rPr>
        <w:t>earlier</w:t>
      </w:r>
      <w:r w:rsidRPr="004B2F56">
        <w:rPr>
          <w:rFonts w:cstheme="minorHAnsi"/>
        </w:rPr>
        <w:t xml:space="preserve"> </w:t>
      </w:r>
      <w:r w:rsidR="00C23CCC" w:rsidRPr="004B2F56">
        <w:rPr>
          <w:rFonts w:cstheme="minorHAnsi"/>
        </w:rPr>
        <w:t>comments</w:t>
      </w:r>
      <w:r w:rsidRPr="004B2F56">
        <w:rPr>
          <w:rFonts w:cstheme="minorHAnsi"/>
        </w:rPr>
        <w:t xml:space="preserve"> </w:t>
      </w:r>
      <w:r w:rsidR="00C23CCC" w:rsidRPr="004B2F56">
        <w:rPr>
          <w:rFonts w:cstheme="minorHAnsi"/>
        </w:rPr>
        <w:t>objecting</w:t>
      </w:r>
      <w:r w:rsidRPr="004B2F56">
        <w:rPr>
          <w:rFonts w:cstheme="minorHAnsi"/>
        </w:rPr>
        <w:t xml:space="preserve"> to </w:t>
      </w:r>
      <w:proofErr w:type="spellStart"/>
      <w:r w:rsidRPr="004B2F56">
        <w:rPr>
          <w:rFonts w:cstheme="minorHAnsi"/>
        </w:rPr>
        <w:t>GHMSI’s</w:t>
      </w:r>
      <w:proofErr w:type="spellEnd"/>
      <w:r w:rsidRPr="004B2F56">
        <w:rPr>
          <w:rFonts w:cstheme="minorHAnsi"/>
        </w:rPr>
        <w:t xml:space="preserve"> proposed consent order.</w:t>
      </w:r>
      <w:r w:rsidR="007D4667">
        <w:rPr>
          <w:rFonts w:cstheme="minorHAnsi"/>
        </w:rPr>
        <w:t xml:space="preserve"> </w:t>
      </w:r>
      <w:r w:rsidR="009003EB">
        <w:rPr>
          <w:rFonts w:cstheme="minorHAnsi"/>
        </w:rPr>
        <w:t xml:space="preserve">D.C. Appleseed’s Comments on </w:t>
      </w:r>
      <w:proofErr w:type="spellStart"/>
      <w:r w:rsidR="009003EB">
        <w:rPr>
          <w:rFonts w:cstheme="minorHAnsi"/>
        </w:rPr>
        <w:t>GHMSI’s</w:t>
      </w:r>
      <w:proofErr w:type="spellEnd"/>
      <w:r w:rsidR="009003EB">
        <w:rPr>
          <w:rFonts w:cstheme="minorHAnsi"/>
        </w:rPr>
        <w:t xml:space="preserve"> Proposed Consent Order for Resolving Proceedings Under the Medical Insurance Empowerment Amendment Act, </w:t>
      </w:r>
      <w:r w:rsidR="009003EB" w:rsidRPr="00755626">
        <w:rPr>
          <w:rFonts w:ascii="Times New Roman" w:hAnsi="Times New Roman" w:cs="Times New Roman"/>
          <w:i/>
        </w:rPr>
        <w:t>In re Surplus Review and Determination for Group Hospitalization and Medical Services, Inc.</w:t>
      </w:r>
      <w:r w:rsidR="009003EB" w:rsidRPr="00755626">
        <w:rPr>
          <w:rFonts w:ascii="Times New Roman" w:hAnsi="Times New Roman" w:cs="Times New Roman"/>
        </w:rPr>
        <w:t xml:space="preserve">, No. 14-MIE-26 </w:t>
      </w:r>
      <w:r w:rsidR="009003EB">
        <w:rPr>
          <w:rFonts w:ascii="Times New Roman" w:hAnsi="Times New Roman" w:cs="Times New Roman"/>
        </w:rPr>
        <w:t xml:space="preserve">(Dep’t of Ins., Sec. &amp; Banking, </w:t>
      </w:r>
      <w:r w:rsidR="005062F9" w:rsidRPr="004B2F56">
        <w:rPr>
          <w:rFonts w:cstheme="minorHAnsi"/>
        </w:rPr>
        <w:t>May 9, 2017</w:t>
      </w:r>
      <w:r w:rsidR="009003EB">
        <w:rPr>
          <w:rFonts w:cstheme="minorHAnsi"/>
        </w:rPr>
        <w:t>)</w:t>
      </w:r>
      <w:r w:rsidR="005062F9" w:rsidRPr="004B2F56">
        <w:rPr>
          <w:rFonts w:cstheme="minorHAnsi"/>
        </w:rPr>
        <w:t>.</w:t>
      </w:r>
    </w:p>
    <w:p w:rsidR="005062F9" w:rsidRPr="004B2F56" w:rsidRDefault="008E7F91" w:rsidP="00B8273B">
      <w:pPr>
        <w:spacing w:after="240"/>
        <w:ind w:firstLine="720"/>
        <w:jc w:val="both"/>
        <w:rPr>
          <w:rFonts w:eastAsia="Times New Roman" w:cstheme="minorHAnsi"/>
        </w:rPr>
      </w:pPr>
      <w:r>
        <w:rPr>
          <w:rFonts w:cstheme="minorHAnsi"/>
        </w:rPr>
        <w:t xml:space="preserve"> Appleseed</w:t>
      </w:r>
      <w:r w:rsidR="005062F9" w:rsidRPr="004B2F56">
        <w:rPr>
          <w:rFonts w:cstheme="minorHAnsi"/>
        </w:rPr>
        <w:t xml:space="preserve"> explained that any Final Order requiring </w:t>
      </w:r>
      <w:r w:rsidR="00B8273B" w:rsidRPr="004B2F56">
        <w:rPr>
          <w:rFonts w:cstheme="minorHAnsi"/>
        </w:rPr>
        <w:t xml:space="preserve">community health </w:t>
      </w:r>
      <w:r w:rsidR="005062F9" w:rsidRPr="004B2F56">
        <w:rPr>
          <w:rFonts w:cstheme="minorHAnsi"/>
        </w:rPr>
        <w:t xml:space="preserve">reinvestment of </w:t>
      </w:r>
      <w:proofErr w:type="spellStart"/>
      <w:r w:rsidR="005062F9" w:rsidRPr="004B2F56">
        <w:rPr>
          <w:rFonts w:cstheme="minorHAnsi"/>
        </w:rPr>
        <w:t>GHMSI’s</w:t>
      </w:r>
      <w:proofErr w:type="spellEnd"/>
      <w:r w:rsidR="005062F9" w:rsidRPr="004B2F56">
        <w:rPr>
          <w:rFonts w:cstheme="minorHAnsi"/>
        </w:rPr>
        <w:t xml:space="preserve"> excess surplus should make clear: (1) the types of programs or initiatives that qualify as community </w:t>
      </w:r>
      <w:r w:rsidR="00B8273B" w:rsidRPr="004B2F56">
        <w:rPr>
          <w:rFonts w:cstheme="minorHAnsi"/>
        </w:rPr>
        <w:t xml:space="preserve">health </w:t>
      </w:r>
      <w:r w:rsidR="005062F9" w:rsidRPr="004B2F56">
        <w:rPr>
          <w:rFonts w:cstheme="minorHAnsi"/>
        </w:rPr>
        <w:t xml:space="preserve">reinvestment; (2) who will make the determinations regarding how and when the excess surplus will be dedicated to those community </w:t>
      </w:r>
      <w:r w:rsidR="00B8273B" w:rsidRPr="004B2F56">
        <w:rPr>
          <w:rFonts w:cstheme="minorHAnsi"/>
        </w:rPr>
        <w:t xml:space="preserve">health </w:t>
      </w:r>
      <w:r w:rsidR="005062F9" w:rsidRPr="004B2F56">
        <w:rPr>
          <w:rFonts w:cstheme="minorHAnsi"/>
        </w:rPr>
        <w:t>reinvestments; (3) the standards that will be followed in making those determinations; (4) the</w:t>
      </w:r>
      <w:r w:rsidR="005062F9" w:rsidRPr="004B2F56">
        <w:rPr>
          <w:rFonts w:eastAsia="Times New Roman" w:cstheme="minorHAnsi"/>
        </w:rPr>
        <w:t xml:space="preserve"> standards and measures for ensuring that </w:t>
      </w:r>
      <w:proofErr w:type="spellStart"/>
      <w:r w:rsidR="005062F9" w:rsidRPr="004B2F56">
        <w:rPr>
          <w:rFonts w:eastAsia="Times New Roman" w:cstheme="minorHAnsi"/>
        </w:rPr>
        <w:t>GHMSI</w:t>
      </w:r>
      <w:proofErr w:type="spellEnd"/>
      <w:r w:rsidR="005062F9" w:rsidRPr="004B2F56">
        <w:rPr>
          <w:rFonts w:eastAsia="Times New Roman" w:cstheme="minorHAnsi"/>
        </w:rPr>
        <w:t xml:space="preserve"> meets its obligations under </w:t>
      </w:r>
      <w:proofErr w:type="spellStart"/>
      <w:r w:rsidR="005062F9" w:rsidRPr="004B2F56">
        <w:rPr>
          <w:rFonts w:eastAsia="Times New Roman" w:cstheme="minorHAnsi"/>
        </w:rPr>
        <w:t>MIEAA</w:t>
      </w:r>
      <w:proofErr w:type="spellEnd"/>
      <w:r w:rsidR="005062F9" w:rsidRPr="004B2F56">
        <w:rPr>
          <w:rFonts w:eastAsia="Times New Roman" w:cstheme="minorHAnsi"/>
        </w:rPr>
        <w:t xml:space="preserve"> </w:t>
      </w:r>
      <w:r w:rsidR="00B8273B" w:rsidRPr="004B2F56">
        <w:rPr>
          <w:rFonts w:eastAsia="Times New Roman" w:cstheme="minorHAnsi"/>
        </w:rPr>
        <w:t xml:space="preserve">both </w:t>
      </w:r>
      <w:r w:rsidR="005062F9" w:rsidRPr="004B2F56">
        <w:rPr>
          <w:rFonts w:eastAsia="Times New Roman" w:cstheme="minorHAnsi"/>
        </w:rPr>
        <w:t xml:space="preserve">to reinvest excess surplus and also to expend the maximum feasible amount each year for community health reinvestment; (5) a mechanism that ensures the company meets those obligations and (6) </w:t>
      </w:r>
      <w:r w:rsidR="00CF0816" w:rsidRPr="004B2F56">
        <w:rPr>
          <w:rFonts w:eastAsia="Times New Roman" w:cstheme="minorHAnsi"/>
        </w:rPr>
        <w:t xml:space="preserve">that </w:t>
      </w:r>
      <w:proofErr w:type="spellStart"/>
      <w:r w:rsidR="005062F9" w:rsidRPr="004B2F56">
        <w:rPr>
          <w:rFonts w:eastAsia="Times New Roman" w:cstheme="minorHAnsi"/>
        </w:rPr>
        <w:t>DISB</w:t>
      </w:r>
      <w:proofErr w:type="spellEnd"/>
      <w:r w:rsidR="005062F9" w:rsidRPr="004B2F56">
        <w:rPr>
          <w:rFonts w:eastAsia="Times New Roman" w:cstheme="minorHAnsi"/>
        </w:rPr>
        <w:t xml:space="preserve"> </w:t>
      </w:r>
      <w:r w:rsidR="00CF0816" w:rsidRPr="004B2F56">
        <w:rPr>
          <w:rFonts w:eastAsia="Times New Roman" w:cstheme="minorHAnsi"/>
        </w:rPr>
        <w:t>will</w:t>
      </w:r>
      <w:r w:rsidR="005062F9" w:rsidRPr="004B2F56">
        <w:rPr>
          <w:rFonts w:eastAsia="Times New Roman" w:cstheme="minorHAnsi"/>
        </w:rPr>
        <w:t xml:space="preserve"> have a role in systematically reviewing and certifying </w:t>
      </w:r>
      <w:proofErr w:type="spellStart"/>
      <w:r w:rsidR="005062F9" w:rsidRPr="004B2F56">
        <w:rPr>
          <w:rFonts w:eastAsia="Times New Roman" w:cstheme="minorHAnsi"/>
        </w:rPr>
        <w:t>GHMSI’s</w:t>
      </w:r>
      <w:proofErr w:type="spellEnd"/>
      <w:r w:rsidR="005062F9" w:rsidRPr="004B2F56">
        <w:rPr>
          <w:rFonts w:eastAsia="Times New Roman" w:cstheme="minorHAnsi"/>
        </w:rPr>
        <w:t xml:space="preserve"> compliance with the Order and with </w:t>
      </w:r>
      <w:proofErr w:type="spellStart"/>
      <w:r w:rsidR="005062F9" w:rsidRPr="004B2F56">
        <w:rPr>
          <w:rFonts w:eastAsia="Times New Roman" w:cstheme="minorHAnsi"/>
        </w:rPr>
        <w:t>MIEAA</w:t>
      </w:r>
      <w:proofErr w:type="spellEnd"/>
      <w:r w:rsidR="005062F9" w:rsidRPr="004B2F56">
        <w:rPr>
          <w:rFonts w:eastAsia="Times New Roman" w:cstheme="minorHAnsi"/>
        </w:rPr>
        <w:t>.</w:t>
      </w:r>
    </w:p>
    <w:p w:rsidR="005062F9" w:rsidRPr="004B2F56" w:rsidRDefault="005062F9" w:rsidP="00A10E3B">
      <w:pPr>
        <w:spacing w:after="240"/>
        <w:ind w:firstLine="720"/>
        <w:jc w:val="both"/>
        <w:rPr>
          <w:rFonts w:eastAsia="Times New Roman" w:cstheme="minorHAnsi"/>
        </w:rPr>
      </w:pPr>
      <w:r w:rsidRPr="004B2F56">
        <w:rPr>
          <w:rFonts w:eastAsia="Times New Roman" w:cstheme="minorHAnsi"/>
        </w:rPr>
        <w:t xml:space="preserve">These are important provisions </w:t>
      </w:r>
      <w:r w:rsidR="00B93E92" w:rsidRPr="004B2F56">
        <w:rPr>
          <w:rFonts w:eastAsia="Times New Roman" w:cstheme="minorHAnsi"/>
        </w:rPr>
        <w:t>that should be addressed in the Commissioner’s final order</w:t>
      </w:r>
      <w:r w:rsidRPr="004B2F56">
        <w:rPr>
          <w:rFonts w:eastAsia="Times New Roman" w:cstheme="minorHAnsi"/>
        </w:rPr>
        <w:t>.</w:t>
      </w:r>
    </w:p>
    <w:p w:rsidR="005062F9" w:rsidRPr="004B2F56" w:rsidRDefault="005062F9" w:rsidP="007035F4">
      <w:pPr>
        <w:pStyle w:val="Heading2"/>
        <w:rPr>
          <w:rFonts w:eastAsia="Times New Roman"/>
        </w:rPr>
      </w:pPr>
      <w:bookmarkStart w:id="14" w:name="_Toc40193620"/>
      <w:r w:rsidRPr="004B2F56">
        <w:rPr>
          <w:rFonts w:eastAsia="Times New Roman"/>
        </w:rPr>
        <w:t>Further Proceedings by the Commissioner</w:t>
      </w:r>
      <w:bookmarkEnd w:id="14"/>
    </w:p>
    <w:p w:rsidR="005062F9" w:rsidRPr="004B2F56" w:rsidRDefault="005062F9" w:rsidP="00A10E3B">
      <w:pPr>
        <w:spacing w:after="240"/>
        <w:ind w:firstLine="360"/>
        <w:jc w:val="both"/>
        <w:rPr>
          <w:rFonts w:eastAsia="Times New Roman" w:cstheme="minorHAnsi"/>
        </w:rPr>
      </w:pPr>
      <w:r w:rsidRPr="004B2F56">
        <w:rPr>
          <w:rFonts w:eastAsia="Times New Roman" w:cstheme="minorHAnsi"/>
        </w:rPr>
        <w:t>The above discussion presents</w:t>
      </w:r>
      <w:r w:rsidR="009003EB">
        <w:rPr>
          <w:rFonts w:eastAsia="Times New Roman" w:cstheme="minorHAnsi"/>
        </w:rPr>
        <w:t xml:space="preserve"> </w:t>
      </w:r>
      <w:r w:rsidR="008E7F91">
        <w:rPr>
          <w:rFonts w:eastAsia="Times New Roman" w:cstheme="minorHAnsi"/>
        </w:rPr>
        <w:t>Appleseed</w:t>
      </w:r>
      <w:r w:rsidRPr="004B2F56">
        <w:rPr>
          <w:rFonts w:eastAsia="Times New Roman" w:cstheme="minorHAnsi"/>
        </w:rPr>
        <w:t xml:space="preserve">’s views concerning how the five remand issues should be resolved, and how a final </w:t>
      </w:r>
      <w:r w:rsidR="00D0641E" w:rsidRPr="004B2F56">
        <w:rPr>
          <w:rFonts w:eastAsia="Times New Roman" w:cstheme="minorHAnsi"/>
        </w:rPr>
        <w:t>spend</w:t>
      </w:r>
      <w:r w:rsidR="00D0641E">
        <w:rPr>
          <w:rFonts w:eastAsia="Times New Roman" w:cstheme="minorHAnsi"/>
        </w:rPr>
        <w:t>-</w:t>
      </w:r>
      <w:r w:rsidRPr="004B2F56">
        <w:rPr>
          <w:rFonts w:eastAsia="Times New Roman" w:cstheme="minorHAnsi"/>
        </w:rPr>
        <w:t>down order should be structured.</w:t>
      </w:r>
      <w:r w:rsidR="009003EB">
        <w:rPr>
          <w:rFonts w:eastAsia="Times New Roman" w:cstheme="minorHAnsi"/>
        </w:rPr>
        <w:t xml:space="preserve"> </w:t>
      </w:r>
      <w:r w:rsidR="008E7F91">
        <w:rPr>
          <w:rFonts w:eastAsia="Times New Roman" w:cstheme="minorHAnsi"/>
        </w:rPr>
        <w:t>Appleseed</w:t>
      </w:r>
      <w:r w:rsidRPr="004B2F56">
        <w:rPr>
          <w:rFonts w:eastAsia="Times New Roman" w:cstheme="minorHAnsi"/>
        </w:rPr>
        <w:t xml:space="preserve"> understands, of course, that </w:t>
      </w:r>
      <w:proofErr w:type="spellStart"/>
      <w:r w:rsidRPr="004B2F56">
        <w:rPr>
          <w:rFonts w:eastAsia="Times New Roman" w:cstheme="minorHAnsi"/>
        </w:rPr>
        <w:t>GHMSI</w:t>
      </w:r>
      <w:proofErr w:type="spellEnd"/>
      <w:r w:rsidRPr="004B2F56">
        <w:rPr>
          <w:rFonts w:eastAsia="Times New Roman" w:cstheme="minorHAnsi"/>
        </w:rPr>
        <w:t xml:space="preserve"> and representatives of Virginia or Maryland </w:t>
      </w:r>
      <w:r w:rsidR="006602FB">
        <w:rPr>
          <w:rFonts w:eastAsia="Times New Roman" w:cstheme="minorHAnsi"/>
        </w:rPr>
        <w:t xml:space="preserve">may </w:t>
      </w:r>
      <w:r w:rsidR="00BE2DB8">
        <w:rPr>
          <w:rFonts w:eastAsia="Times New Roman" w:cstheme="minorHAnsi"/>
        </w:rPr>
        <w:t>have different perspectives.</w:t>
      </w:r>
      <w:r w:rsidR="005A532C">
        <w:rPr>
          <w:rFonts w:eastAsia="Times New Roman" w:cstheme="minorHAnsi"/>
        </w:rPr>
        <w:t xml:space="preserve"> As noted in the Motion accompanying this brief,</w:t>
      </w:r>
      <w:r w:rsidR="00BE2DB8">
        <w:rPr>
          <w:rFonts w:eastAsia="Times New Roman" w:cstheme="minorHAnsi"/>
        </w:rPr>
        <w:t xml:space="preserve"> </w:t>
      </w:r>
      <w:r w:rsidR="005A532C">
        <w:rPr>
          <w:rFonts w:eastAsia="Times New Roman" w:cstheme="minorHAnsi"/>
        </w:rPr>
        <w:t>f</w:t>
      </w:r>
      <w:r w:rsidRPr="004B2F56">
        <w:rPr>
          <w:rFonts w:eastAsia="Times New Roman" w:cstheme="minorHAnsi"/>
        </w:rPr>
        <w:t>or the Commissioner to hear from these stakeholders and to appropriately coordinate with them,</w:t>
      </w:r>
      <w:r w:rsidR="005A532C">
        <w:rPr>
          <w:rFonts w:eastAsia="Times New Roman" w:cstheme="minorHAnsi"/>
        </w:rPr>
        <w:t xml:space="preserve"> and</w:t>
      </w:r>
      <w:r w:rsidR="0036224F">
        <w:rPr>
          <w:rFonts w:eastAsia="Times New Roman" w:cstheme="minorHAnsi"/>
        </w:rPr>
        <w:t>,</w:t>
      </w:r>
      <w:r w:rsidR="005A532C">
        <w:rPr>
          <w:rFonts w:eastAsia="Times New Roman" w:cstheme="minorHAnsi"/>
        </w:rPr>
        <w:t xml:space="preserve"> to implement the decision of the Court of Appeals,</w:t>
      </w:r>
      <w:r w:rsidRPr="004B2F56">
        <w:rPr>
          <w:rFonts w:eastAsia="Times New Roman" w:cstheme="minorHAnsi"/>
        </w:rPr>
        <w:t xml:space="preserve"> Appleseed proposes th</w:t>
      </w:r>
      <w:r w:rsidR="00B8273B" w:rsidRPr="004B2F56">
        <w:rPr>
          <w:rFonts w:eastAsia="Times New Roman" w:cstheme="minorHAnsi"/>
        </w:rPr>
        <w:t>at the Commission enter an order direct</w:t>
      </w:r>
      <w:r w:rsidR="005A532C">
        <w:rPr>
          <w:rFonts w:eastAsia="Times New Roman" w:cstheme="minorHAnsi"/>
        </w:rPr>
        <w:t>ing</w:t>
      </w:r>
      <w:r w:rsidR="00B8273B" w:rsidRPr="004B2F56">
        <w:rPr>
          <w:rFonts w:eastAsia="Times New Roman" w:cstheme="minorHAnsi"/>
        </w:rPr>
        <w:t xml:space="preserve"> th</w:t>
      </w:r>
      <w:r w:rsidRPr="004B2F56">
        <w:rPr>
          <w:rFonts w:eastAsia="Times New Roman" w:cstheme="minorHAnsi"/>
        </w:rPr>
        <w:t>e following steps:</w:t>
      </w:r>
    </w:p>
    <w:p w:rsidR="002B0442" w:rsidRPr="002B0442" w:rsidRDefault="002B0442" w:rsidP="002B0442">
      <w:pPr>
        <w:pStyle w:val="BodyText"/>
        <w:numPr>
          <w:ilvl w:val="0"/>
          <w:numId w:val="55"/>
        </w:numPr>
        <w:rPr>
          <w:rFonts w:eastAsia="Times New Roman"/>
        </w:rPr>
      </w:pPr>
      <w:r w:rsidRPr="002B0442">
        <w:rPr>
          <w:rFonts w:eastAsia="Times New Roman"/>
        </w:rPr>
        <w:t xml:space="preserve">The Commissioner should immediately order </w:t>
      </w:r>
      <w:proofErr w:type="spellStart"/>
      <w:r w:rsidRPr="002B0442">
        <w:rPr>
          <w:rFonts w:eastAsia="Times New Roman"/>
        </w:rPr>
        <w:t>GHMSI</w:t>
      </w:r>
      <w:proofErr w:type="spellEnd"/>
      <w:r w:rsidRPr="002B0442">
        <w:rPr>
          <w:rFonts w:eastAsia="Times New Roman"/>
        </w:rPr>
        <w:t xml:space="preserve"> to spend down the $51 million of excess surplus.</w:t>
      </w:r>
    </w:p>
    <w:p w:rsidR="002B0442" w:rsidRPr="002B0442" w:rsidRDefault="002B0442" w:rsidP="002B0442">
      <w:pPr>
        <w:pStyle w:val="BodyText"/>
        <w:numPr>
          <w:ilvl w:val="0"/>
          <w:numId w:val="55"/>
        </w:numPr>
        <w:rPr>
          <w:rFonts w:eastAsia="Times New Roman" w:cstheme="minorHAnsi"/>
        </w:rPr>
      </w:pPr>
      <w:r w:rsidRPr="002B0442">
        <w:rPr>
          <w:rFonts w:eastAsia="Times New Roman" w:cstheme="minorHAnsi"/>
        </w:rPr>
        <w:t xml:space="preserve">The Commissioner should permit </w:t>
      </w:r>
      <w:proofErr w:type="spellStart"/>
      <w:r w:rsidRPr="002B0442">
        <w:rPr>
          <w:rFonts w:eastAsia="Times New Roman" w:cstheme="minorHAnsi"/>
        </w:rPr>
        <w:t>GHMSI</w:t>
      </w:r>
      <w:proofErr w:type="spellEnd"/>
      <w:r w:rsidRPr="002B0442">
        <w:rPr>
          <w:rFonts w:eastAsia="Times New Roman" w:cstheme="minorHAnsi"/>
        </w:rPr>
        <w:t xml:space="preserve"> to respond to Appleseed’s Motion and </w:t>
      </w:r>
      <w:r w:rsidRPr="002B0442">
        <w:rPr>
          <w:rFonts w:eastAsia="Times New Roman"/>
        </w:rPr>
        <w:t>accompanying</w:t>
      </w:r>
      <w:r w:rsidRPr="002B0442">
        <w:rPr>
          <w:rFonts w:eastAsia="Times New Roman" w:cstheme="minorHAnsi"/>
        </w:rPr>
        <w:t xml:space="preserve"> brief no later than 20 days after the filing of this Motion and brief.</w:t>
      </w:r>
    </w:p>
    <w:p w:rsidR="002B0442" w:rsidRPr="002B0442" w:rsidRDefault="002B0442" w:rsidP="002B0442">
      <w:pPr>
        <w:pStyle w:val="BodyText"/>
        <w:numPr>
          <w:ilvl w:val="0"/>
          <w:numId w:val="55"/>
        </w:numPr>
        <w:rPr>
          <w:rFonts w:eastAsia="Times New Roman" w:cstheme="minorHAnsi"/>
        </w:rPr>
      </w:pPr>
      <w:r w:rsidRPr="002B0442">
        <w:rPr>
          <w:rFonts w:eastAsia="Times New Roman" w:cstheme="minorHAnsi"/>
        </w:rPr>
        <w:t xml:space="preserve">The </w:t>
      </w:r>
      <w:r w:rsidRPr="002B0442">
        <w:rPr>
          <w:rFonts w:eastAsia="Times New Roman"/>
        </w:rPr>
        <w:t>Commissioner</w:t>
      </w:r>
      <w:r w:rsidRPr="002B0442">
        <w:rPr>
          <w:rFonts w:eastAsia="Times New Roman" w:cstheme="minorHAnsi"/>
        </w:rPr>
        <w:t xml:space="preserve"> should permit the Virginia and Maryland state insurance regulators and any other interested party to submit a pre-hearing public statement to </w:t>
      </w:r>
      <w:proofErr w:type="spellStart"/>
      <w:r w:rsidRPr="002B0442">
        <w:rPr>
          <w:rFonts w:eastAsia="Times New Roman" w:cstheme="minorHAnsi"/>
        </w:rPr>
        <w:t>DISB</w:t>
      </w:r>
      <w:proofErr w:type="spellEnd"/>
      <w:r w:rsidRPr="002B0442">
        <w:rPr>
          <w:rFonts w:eastAsia="Times New Roman" w:cstheme="minorHAnsi"/>
        </w:rPr>
        <w:t xml:space="preserve"> no later </w:t>
      </w:r>
      <w:r w:rsidRPr="002B0442">
        <w:rPr>
          <w:rFonts w:eastAsia="Times New Roman" w:cstheme="minorHAnsi"/>
        </w:rPr>
        <w:lastRenderedPageBreak/>
        <w:t xml:space="preserve">than 14 days after filing of this Motion and brief or </w:t>
      </w:r>
      <w:proofErr w:type="spellStart"/>
      <w:r w:rsidRPr="002B0442">
        <w:rPr>
          <w:rFonts w:eastAsia="Times New Roman" w:cstheme="minorHAnsi"/>
        </w:rPr>
        <w:t>GHMSI’s</w:t>
      </w:r>
      <w:proofErr w:type="spellEnd"/>
      <w:r w:rsidRPr="002B0442">
        <w:rPr>
          <w:rFonts w:eastAsia="Times New Roman" w:cstheme="minorHAnsi"/>
        </w:rPr>
        <w:t xml:space="preserve"> response, whichever is later.</w:t>
      </w:r>
      <w:r w:rsidR="007D4667">
        <w:rPr>
          <w:rFonts w:eastAsia="Times New Roman" w:cstheme="minorHAnsi"/>
        </w:rPr>
        <w:t xml:space="preserve"> </w:t>
      </w:r>
      <w:r w:rsidRPr="002B0442">
        <w:rPr>
          <w:rFonts w:eastAsia="Times New Roman" w:cstheme="minorHAnsi"/>
        </w:rPr>
        <w:t>Any pre-hearing public statement should be limited to 20 pages.</w:t>
      </w:r>
    </w:p>
    <w:p w:rsidR="002B0442" w:rsidRPr="002B0442" w:rsidRDefault="002B0442" w:rsidP="002B0442">
      <w:pPr>
        <w:pStyle w:val="BodyText"/>
        <w:numPr>
          <w:ilvl w:val="0"/>
          <w:numId w:val="55"/>
        </w:numPr>
        <w:rPr>
          <w:rFonts w:eastAsia="Times New Roman" w:cstheme="minorHAnsi"/>
        </w:rPr>
      </w:pPr>
      <w:r w:rsidRPr="002B0442">
        <w:rPr>
          <w:rFonts w:eastAsia="Times New Roman" w:cstheme="minorHAnsi"/>
        </w:rPr>
        <w:t xml:space="preserve">If </w:t>
      </w:r>
      <w:proofErr w:type="spellStart"/>
      <w:r w:rsidRPr="002B0442">
        <w:rPr>
          <w:rFonts w:eastAsia="Times New Roman" w:cstheme="minorHAnsi"/>
        </w:rPr>
        <w:t>GHMSI</w:t>
      </w:r>
      <w:proofErr w:type="spellEnd"/>
      <w:r w:rsidRPr="002B0442">
        <w:rPr>
          <w:rFonts w:eastAsia="Times New Roman" w:cstheme="minorHAnsi"/>
        </w:rPr>
        <w:t xml:space="preserve"> and</w:t>
      </w:r>
      <w:r w:rsidR="005A532C">
        <w:rPr>
          <w:rFonts w:eastAsia="Times New Roman" w:cstheme="minorHAnsi"/>
        </w:rPr>
        <w:t>/or</w:t>
      </w:r>
      <w:r w:rsidRPr="002B0442">
        <w:rPr>
          <w:rFonts w:eastAsia="Times New Roman" w:cstheme="minorHAnsi"/>
        </w:rPr>
        <w:t xml:space="preserve"> Virginia and Maryland insurance regulators submit a response to Appleseed’s Motion and brief, the Commissioner should permit Appleseed to file a reply, no later than 14 days after the filing of the response.</w:t>
      </w:r>
    </w:p>
    <w:p w:rsidR="002B0442" w:rsidRPr="002B0442" w:rsidRDefault="002B0442" w:rsidP="002B0442">
      <w:pPr>
        <w:pStyle w:val="BodyText"/>
        <w:numPr>
          <w:ilvl w:val="0"/>
          <w:numId w:val="55"/>
        </w:numPr>
        <w:rPr>
          <w:rFonts w:eastAsia="Times New Roman" w:cstheme="minorHAnsi"/>
        </w:rPr>
      </w:pPr>
      <w:r w:rsidRPr="002B0442">
        <w:rPr>
          <w:rFonts w:eastAsia="Times New Roman" w:cstheme="minorHAnsi"/>
        </w:rPr>
        <w:t xml:space="preserve">At the close of the parties’ opportunity to respond to this Motion and the </w:t>
      </w:r>
      <w:r w:rsidRPr="002B0442">
        <w:rPr>
          <w:rFonts w:eastAsia="Times New Roman"/>
        </w:rPr>
        <w:t>accompanying</w:t>
      </w:r>
      <w:r w:rsidRPr="002B0442">
        <w:rPr>
          <w:rFonts w:eastAsia="Times New Roman" w:cstheme="minorHAnsi"/>
        </w:rPr>
        <w:t xml:space="preserve"> brief</w:t>
      </w:r>
      <w:r w:rsidR="00BF3FB1">
        <w:rPr>
          <w:rFonts w:eastAsia="Times New Roman" w:cstheme="minorHAnsi"/>
        </w:rPr>
        <w:t xml:space="preserve"> and Appleseed’s opportunity to submit a </w:t>
      </w:r>
      <w:r w:rsidR="00BF3FB1" w:rsidRPr="002B0442">
        <w:rPr>
          <w:rFonts w:eastAsia="Times New Roman" w:cstheme="minorHAnsi"/>
        </w:rPr>
        <w:t>reply</w:t>
      </w:r>
      <w:r w:rsidRPr="002B0442">
        <w:rPr>
          <w:rFonts w:eastAsia="Times New Roman" w:cstheme="minorHAnsi"/>
        </w:rPr>
        <w:t>, the Commissioner, in consultation with Virginia and Maryland state insurance regulators on the public record, should issue a notice for a joint public hearing (by teleconference, if need be) regarding the issues that remain to be addressed on remand in light of the Court of Appeals’ decision and the existing factual record.</w:t>
      </w:r>
      <w:r w:rsidR="007D4667">
        <w:rPr>
          <w:rFonts w:eastAsia="Times New Roman" w:cstheme="minorHAnsi"/>
        </w:rPr>
        <w:t xml:space="preserve"> </w:t>
      </w:r>
      <w:r w:rsidRPr="002B0442">
        <w:rPr>
          <w:rFonts w:eastAsia="Times New Roman" w:cstheme="minorHAnsi"/>
        </w:rPr>
        <w:t xml:space="preserve">The Commissioner should schedule the joint public hearing to be no more than 14 days after the close of the parties’ opportunity to respond </w:t>
      </w:r>
      <w:r w:rsidR="00BF3FB1" w:rsidRPr="002B0442">
        <w:rPr>
          <w:rFonts w:eastAsia="Times New Roman" w:cstheme="minorHAnsi"/>
        </w:rPr>
        <w:t xml:space="preserve">to this Motion </w:t>
      </w:r>
      <w:r w:rsidRPr="002B0442">
        <w:rPr>
          <w:rFonts w:eastAsia="Times New Roman" w:cstheme="minorHAnsi"/>
        </w:rPr>
        <w:t xml:space="preserve">and </w:t>
      </w:r>
      <w:r w:rsidR="00BF3FB1">
        <w:rPr>
          <w:rFonts w:eastAsia="Times New Roman" w:cstheme="minorHAnsi"/>
        </w:rPr>
        <w:t xml:space="preserve">Appleseed’s opportunity to submit a </w:t>
      </w:r>
      <w:r w:rsidRPr="002B0442">
        <w:rPr>
          <w:rFonts w:eastAsia="Times New Roman" w:cstheme="minorHAnsi"/>
        </w:rPr>
        <w:t>reply.</w:t>
      </w:r>
    </w:p>
    <w:p w:rsidR="002B0442" w:rsidRPr="002B0442" w:rsidRDefault="002B0442" w:rsidP="002B0442">
      <w:pPr>
        <w:pStyle w:val="BodyText"/>
        <w:numPr>
          <w:ilvl w:val="0"/>
          <w:numId w:val="55"/>
        </w:numPr>
        <w:rPr>
          <w:rFonts w:eastAsia="Times New Roman" w:cstheme="minorHAnsi"/>
        </w:rPr>
      </w:pPr>
      <w:r w:rsidRPr="002B0442">
        <w:rPr>
          <w:rFonts w:eastAsia="Times New Roman" w:cstheme="minorHAnsi"/>
        </w:rPr>
        <w:t xml:space="preserve">The </w:t>
      </w:r>
      <w:r w:rsidRPr="002B0442">
        <w:rPr>
          <w:rFonts w:eastAsia="Times New Roman"/>
        </w:rPr>
        <w:t>Commissioner</w:t>
      </w:r>
      <w:r w:rsidRPr="002B0442">
        <w:rPr>
          <w:rFonts w:eastAsia="Times New Roman" w:cstheme="minorHAnsi"/>
        </w:rPr>
        <w:t xml:space="preserve"> should jointly preside over the public hearing with the relevant Virginia and Maryland state insurance regulators, during which any interested party may make a public statement and respond to regulator questions, and address the positions expressed in any pre-hearing submissions.</w:t>
      </w:r>
    </w:p>
    <w:p w:rsidR="002B0442" w:rsidRPr="002B0442" w:rsidRDefault="002B0442" w:rsidP="002B0442">
      <w:pPr>
        <w:pStyle w:val="BodyText"/>
        <w:numPr>
          <w:ilvl w:val="0"/>
          <w:numId w:val="55"/>
        </w:numPr>
        <w:rPr>
          <w:rFonts w:eastAsia="Times New Roman" w:cstheme="minorHAnsi"/>
        </w:rPr>
      </w:pPr>
      <w:r w:rsidRPr="002B0442">
        <w:rPr>
          <w:rFonts w:eastAsia="Times New Roman" w:cstheme="minorHAnsi"/>
        </w:rPr>
        <w:t xml:space="preserve">Appleseed, </w:t>
      </w:r>
      <w:proofErr w:type="spellStart"/>
      <w:r w:rsidRPr="002B0442">
        <w:rPr>
          <w:rFonts w:eastAsia="Times New Roman" w:cstheme="minorHAnsi"/>
        </w:rPr>
        <w:t>GHMSI</w:t>
      </w:r>
      <w:proofErr w:type="spellEnd"/>
      <w:r w:rsidRPr="002B0442">
        <w:rPr>
          <w:rFonts w:eastAsia="Times New Roman" w:cstheme="minorHAnsi"/>
        </w:rPr>
        <w:t>, the Virginia and Maryland state insurance regulators, and any other interested party should be afforded the opportunity to submit a responsive public statement no later than 14 days after the joint hearing.</w:t>
      </w:r>
      <w:r w:rsidR="007D4667">
        <w:rPr>
          <w:rFonts w:eastAsia="Times New Roman" w:cstheme="minorHAnsi"/>
        </w:rPr>
        <w:t xml:space="preserve"> </w:t>
      </w:r>
      <w:r w:rsidRPr="002B0442">
        <w:rPr>
          <w:rFonts w:eastAsia="Times New Roman" w:cstheme="minorHAnsi"/>
        </w:rPr>
        <w:t xml:space="preserve">Any post-hearing public statement may include the party’s proposed findings and conclusions regarding the remand issues and their effect on </w:t>
      </w:r>
      <w:proofErr w:type="spellStart"/>
      <w:r w:rsidRPr="002B0442">
        <w:rPr>
          <w:rFonts w:eastAsia="Times New Roman" w:cstheme="minorHAnsi"/>
        </w:rPr>
        <w:t>GHMSI’s</w:t>
      </w:r>
      <w:proofErr w:type="spellEnd"/>
      <w:r w:rsidRPr="002B0442">
        <w:rPr>
          <w:rFonts w:eastAsia="Times New Roman" w:cstheme="minorHAnsi"/>
        </w:rPr>
        <w:t xml:space="preserve"> permissible year-end 2011 surplus, and should be limited to 30 pages.</w:t>
      </w:r>
    </w:p>
    <w:p w:rsidR="005062F9" w:rsidRPr="002B0442" w:rsidRDefault="002B0442" w:rsidP="00A10E3B">
      <w:pPr>
        <w:pStyle w:val="BodyText"/>
        <w:numPr>
          <w:ilvl w:val="0"/>
          <w:numId w:val="55"/>
        </w:numPr>
        <w:rPr>
          <w:rFonts w:eastAsia="Times New Roman" w:cstheme="minorHAnsi"/>
        </w:rPr>
      </w:pPr>
      <w:r w:rsidRPr="002B0442">
        <w:rPr>
          <w:rFonts w:eastAsia="Times New Roman" w:cstheme="minorHAnsi"/>
        </w:rPr>
        <w:t xml:space="preserve">The </w:t>
      </w:r>
      <w:r w:rsidRPr="002B0442">
        <w:rPr>
          <w:rFonts w:eastAsia="Times New Roman"/>
        </w:rPr>
        <w:t>Commissioner</w:t>
      </w:r>
      <w:r w:rsidRPr="002B0442">
        <w:rPr>
          <w:rFonts w:eastAsia="Times New Roman" w:cstheme="minorHAnsi"/>
        </w:rPr>
        <w:t xml:space="preserve"> should issue a final decision on remand within 30 days after receiving any post-hearing statements.</w:t>
      </w:r>
      <w:r w:rsidR="005062F9" w:rsidRPr="002B0442">
        <w:rPr>
          <w:rFonts w:asciiTheme="minorHAnsi" w:hAnsiTheme="minorHAnsi" w:cstheme="minorHAnsi"/>
        </w:rPr>
        <w:t xml:space="preserve"> </w:t>
      </w:r>
    </w:p>
    <w:p w:rsidR="005062F9" w:rsidRDefault="005062F9" w:rsidP="002B0442">
      <w:pPr>
        <w:jc w:val="both"/>
        <w:rPr>
          <w:rFonts w:cstheme="minorHAnsi"/>
        </w:rPr>
      </w:pPr>
      <w:r w:rsidRPr="004B2F56">
        <w:rPr>
          <w:rFonts w:cstheme="minorHAnsi"/>
        </w:rPr>
        <w:t xml:space="preserve">This </w:t>
      </w:r>
      <w:r w:rsidRPr="002B0442">
        <w:rPr>
          <w:rFonts w:eastAsia="Times New Roman" w:cstheme="minorHAnsi"/>
        </w:rPr>
        <w:t>schedule</w:t>
      </w:r>
      <w:r w:rsidRPr="004B2F56">
        <w:rPr>
          <w:rFonts w:cstheme="minorHAnsi"/>
        </w:rPr>
        <w:t xml:space="preserve"> </w:t>
      </w:r>
      <w:r w:rsidR="00293E6D" w:rsidRPr="004B2F56">
        <w:rPr>
          <w:rFonts w:cstheme="minorHAnsi"/>
        </w:rPr>
        <w:t xml:space="preserve">is proposed as a means to provide </w:t>
      </w:r>
      <w:r w:rsidRPr="004B2F56">
        <w:rPr>
          <w:rFonts w:cstheme="minorHAnsi"/>
        </w:rPr>
        <w:t xml:space="preserve">a timely and orderly remand proceeding that comports with </w:t>
      </w:r>
      <w:proofErr w:type="spellStart"/>
      <w:r w:rsidRPr="004B2F56">
        <w:rPr>
          <w:rFonts w:cstheme="minorHAnsi"/>
        </w:rPr>
        <w:t>MIEAA</w:t>
      </w:r>
      <w:proofErr w:type="spellEnd"/>
      <w:r w:rsidRPr="004B2F56">
        <w:rPr>
          <w:rFonts w:cstheme="minorHAnsi"/>
        </w:rPr>
        <w:t xml:space="preserve"> and the Court of Appeals’ decision.</w:t>
      </w:r>
    </w:p>
    <w:p w:rsidR="002B0442" w:rsidRPr="004B2F56" w:rsidRDefault="002B0442" w:rsidP="002B0442">
      <w:pPr>
        <w:ind w:firstLine="720"/>
        <w:jc w:val="both"/>
        <w:rPr>
          <w:rFonts w:eastAsia="Times New Roman" w:cstheme="minorHAnsi"/>
        </w:rPr>
      </w:pPr>
    </w:p>
    <w:p w:rsidR="005062F9" w:rsidRPr="004B2F56" w:rsidRDefault="00CF23E9" w:rsidP="00B14007">
      <w:pPr>
        <w:pStyle w:val="Heading1"/>
        <w:keepNext/>
        <w:numPr>
          <w:ilvl w:val="0"/>
          <w:numId w:val="0"/>
        </w:numPr>
        <w:tabs>
          <w:tab w:val="left" w:pos="720"/>
        </w:tabs>
        <w:jc w:val="center"/>
        <w:rPr>
          <w:rFonts w:asciiTheme="minorHAnsi" w:eastAsia="Times New Roman" w:hAnsiTheme="minorHAnsi" w:cstheme="minorHAnsi"/>
          <w:b/>
          <w:szCs w:val="24"/>
        </w:rPr>
      </w:pPr>
      <w:bookmarkStart w:id="15" w:name="_Toc40193621"/>
      <w:r>
        <w:rPr>
          <w:rFonts w:asciiTheme="minorHAnsi" w:eastAsia="Times New Roman" w:hAnsiTheme="minorHAnsi" w:cstheme="minorHAnsi"/>
          <w:b/>
          <w:szCs w:val="24"/>
        </w:rPr>
        <w:t>CONCLUSION</w:t>
      </w:r>
      <w:bookmarkEnd w:id="15"/>
    </w:p>
    <w:p w:rsidR="00E55C2E" w:rsidRDefault="005062F9" w:rsidP="002F06CF">
      <w:pPr>
        <w:ind w:firstLine="720"/>
        <w:jc w:val="both"/>
        <w:rPr>
          <w:rFonts w:eastAsia="Times New Roman" w:cstheme="minorHAnsi"/>
        </w:rPr>
      </w:pPr>
      <w:r w:rsidRPr="004B2F56">
        <w:rPr>
          <w:rFonts w:eastAsia="Times New Roman" w:cstheme="minorHAnsi"/>
        </w:rPr>
        <w:t xml:space="preserve">For the reasons stated, and pursuant to the Commissioner’s interpretation of </w:t>
      </w:r>
      <w:proofErr w:type="spellStart"/>
      <w:r w:rsidRPr="004B2F56">
        <w:rPr>
          <w:rFonts w:eastAsia="Times New Roman" w:cstheme="minorHAnsi"/>
        </w:rPr>
        <w:t>MIEAA</w:t>
      </w:r>
      <w:proofErr w:type="spellEnd"/>
      <w:r w:rsidRPr="004B2F56">
        <w:rPr>
          <w:rFonts w:eastAsia="Times New Roman" w:cstheme="minorHAnsi"/>
        </w:rPr>
        <w:t xml:space="preserve">, we urge the Commissioner to </w:t>
      </w:r>
      <w:r w:rsidR="00293E6D" w:rsidRPr="004B2F56">
        <w:rPr>
          <w:rFonts w:eastAsia="Times New Roman" w:cstheme="minorHAnsi"/>
        </w:rPr>
        <w:t xml:space="preserve">enter an order that </w:t>
      </w:r>
      <w:r w:rsidRPr="004B2F56">
        <w:rPr>
          <w:rFonts w:eastAsia="Times New Roman" w:cstheme="minorHAnsi"/>
        </w:rPr>
        <w:t>require</w:t>
      </w:r>
      <w:r w:rsidR="00293E6D" w:rsidRPr="004B2F56">
        <w:rPr>
          <w:rFonts w:eastAsia="Times New Roman" w:cstheme="minorHAnsi"/>
        </w:rPr>
        <w:t>s</w:t>
      </w:r>
      <w:r w:rsidRPr="004B2F56">
        <w:rPr>
          <w:rFonts w:eastAsia="Times New Roman" w:cstheme="minorHAnsi"/>
        </w:rPr>
        <w:t xml:space="preserve"> </w:t>
      </w:r>
      <w:proofErr w:type="spellStart"/>
      <w:r w:rsidRPr="004B2F56">
        <w:rPr>
          <w:rFonts w:eastAsia="Times New Roman" w:cstheme="minorHAnsi"/>
        </w:rPr>
        <w:t>GHMSI</w:t>
      </w:r>
      <w:proofErr w:type="spellEnd"/>
      <w:r w:rsidRPr="004B2F56">
        <w:rPr>
          <w:rFonts w:eastAsia="Times New Roman" w:cstheme="minorHAnsi"/>
        </w:rPr>
        <w:t xml:space="preserve"> to </w:t>
      </w:r>
      <w:r w:rsidR="00293E6D" w:rsidRPr="004B2F56">
        <w:rPr>
          <w:rFonts w:eastAsia="Times New Roman" w:cstheme="minorHAnsi"/>
        </w:rPr>
        <w:t xml:space="preserve">spend $51 million immediately from its excess surplus for community health reinvestment, and then order that </w:t>
      </w:r>
      <w:proofErr w:type="spellStart"/>
      <w:r w:rsidR="00293E6D" w:rsidRPr="004B2F56">
        <w:rPr>
          <w:rFonts w:eastAsia="Times New Roman" w:cstheme="minorHAnsi"/>
        </w:rPr>
        <w:t>GHMSI</w:t>
      </w:r>
      <w:proofErr w:type="spellEnd"/>
      <w:r w:rsidR="00293E6D" w:rsidRPr="004B2F56">
        <w:rPr>
          <w:rFonts w:eastAsia="Times New Roman" w:cstheme="minorHAnsi"/>
        </w:rPr>
        <w:t xml:space="preserve"> </w:t>
      </w:r>
      <w:r w:rsidRPr="004B2F56">
        <w:rPr>
          <w:rFonts w:eastAsia="Times New Roman" w:cstheme="minorHAnsi"/>
        </w:rPr>
        <w:t>spend down</w:t>
      </w:r>
      <w:r w:rsidR="007035F4">
        <w:rPr>
          <w:rFonts w:eastAsia="Times New Roman" w:cstheme="minorHAnsi"/>
        </w:rPr>
        <w:t>, from its current surplus of $1.44 billion,</w:t>
      </w:r>
      <w:r w:rsidRPr="004B2F56">
        <w:rPr>
          <w:rFonts w:eastAsia="Times New Roman" w:cstheme="minorHAnsi"/>
        </w:rPr>
        <w:t xml:space="preserve"> </w:t>
      </w:r>
      <w:r w:rsidR="007035F4">
        <w:rPr>
          <w:rFonts w:eastAsia="Times New Roman" w:cstheme="minorHAnsi"/>
        </w:rPr>
        <w:t xml:space="preserve">the remaining $262.44 million of the </w:t>
      </w:r>
      <w:r w:rsidRPr="004B2F56">
        <w:rPr>
          <w:rFonts w:eastAsia="Times New Roman" w:cstheme="minorHAnsi"/>
        </w:rPr>
        <w:t>$313.44 million</w:t>
      </w:r>
      <w:r w:rsidR="007035F4">
        <w:rPr>
          <w:rFonts w:eastAsia="Times New Roman" w:cstheme="minorHAnsi"/>
        </w:rPr>
        <w:t xml:space="preserve"> in excess surplus attributable to the District</w:t>
      </w:r>
      <w:r w:rsidRPr="004B2F56">
        <w:rPr>
          <w:rFonts w:eastAsia="Times New Roman" w:cstheme="minorHAnsi"/>
        </w:rPr>
        <w:t xml:space="preserve"> to address </w:t>
      </w:r>
      <w:r w:rsidR="00293E6D" w:rsidRPr="004B2F56">
        <w:rPr>
          <w:rFonts w:eastAsia="Times New Roman" w:cstheme="minorHAnsi"/>
        </w:rPr>
        <w:t xml:space="preserve">community </w:t>
      </w:r>
      <w:r w:rsidRPr="004B2F56">
        <w:rPr>
          <w:rFonts w:eastAsia="Times New Roman" w:cstheme="minorHAnsi"/>
        </w:rPr>
        <w:t xml:space="preserve">health needs in the District of Columbia. </w:t>
      </w:r>
      <w:proofErr w:type="spellStart"/>
      <w:r w:rsidRPr="004B2F56">
        <w:rPr>
          <w:rFonts w:eastAsia="Times New Roman" w:cstheme="minorHAnsi"/>
        </w:rPr>
        <w:t>GHMSI</w:t>
      </w:r>
      <w:proofErr w:type="spellEnd"/>
      <w:r w:rsidRPr="004B2F56">
        <w:rPr>
          <w:rFonts w:eastAsia="Times New Roman" w:cstheme="minorHAnsi"/>
        </w:rPr>
        <w:t xml:space="preserve"> should also be required</w:t>
      </w:r>
      <w:r w:rsidR="00CF0816" w:rsidRPr="004B2F56">
        <w:rPr>
          <w:rFonts w:eastAsia="Times New Roman" w:cstheme="minorHAnsi"/>
        </w:rPr>
        <w:t>, separately from its spend</w:t>
      </w:r>
      <w:r w:rsidR="00D0641E">
        <w:rPr>
          <w:rFonts w:eastAsia="Times New Roman" w:cstheme="minorHAnsi"/>
        </w:rPr>
        <w:t>-</w:t>
      </w:r>
      <w:r w:rsidR="00CF0816" w:rsidRPr="004B2F56">
        <w:rPr>
          <w:rFonts w:eastAsia="Times New Roman" w:cstheme="minorHAnsi"/>
        </w:rPr>
        <w:t xml:space="preserve">down of excess surplus, </w:t>
      </w:r>
      <w:r w:rsidRPr="004B2F56">
        <w:rPr>
          <w:rFonts w:eastAsia="Times New Roman" w:cstheme="minorHAnsi"/>
        </w:rPr>
        <w:t>to reimburse</w:t>
      </w:r>
      <w:r w:rsidR="009003EB">
        <w:rPr>
          <w:rFonts w:eastAsia="Times New Roman" w:cstheme="minorHAnsi"/>
        </w:rPr>
        <w:t xml:space="preserve"> </w:t>
      </w:r>
      <w:r w:rsidR="008E7F91">
        <w:rPr>
          <w:rFonts w:eastAsia="Times New Roman" w:cstheme="minorHAnsi"/>
        </w:rPr>
        <w:t>Appleseed</w:t>
      </w:r>
      <w:r w:rsidRPr="004B2F56">
        <w:rPr>
          <w:rFonts w:eastAsia="Times New Roman" w:cstheme="minorHAnsi"/>
        </w:rPr>
        <w:t xml:space="preserve"> for its out-of-pocket actuarial fees, given the significant contribution that</w:t>
      </w:r>
      <w:r w:rsidR="009003EB">
        <w:rPr>
          <w:rFonts w:eastAsia="Times New Roman" w:cstheme="minorHAnsi"/>
        </w:rPr>
        <w:t xml:space="preserve"> </w:t>
      </w:r>
      <w:r w:rsidR="008E7F91">
        <w:rPr>
          <w:rFonts w:eastAsia="Times New Roman" w:cstheme="minorHAnsi"/>
        </w:rPr>
        <w:t>Appleseed</w:t>
      </w:r>
      <w:r w:rsidRPr="004B2F56">
        <w:rPr>
          <w:rFonts w:eastAsia="Times New Roman" w:cstheme="minorHAnsi"/>
        </w:rPr>
        <w:t xml:space="preserve"> has made to these proceedings through </w:t>
      </w:r>
      <w:r w:rsidR="00D77629" w:rsidRPr="004B2F56">
        <w:rPr>
          <w:rFonts w:eastAsia="Times New Roman" w:cstheme="minorHAnsi"/>
        </w:rPr>
        <w:t xml:space="preserve">that </w:t>
      </w:r>
      <w:r w:rsidRPr="004B2F56">
        <w:rPr>
          <w:rFonts w:eastAsia="Times New Roman" w:cstheme="minorHAnsi"/>
        </w:rPr>
        <w:t>actuarial expert</w:t>
      </w:r>
      <w:r w:rsidR="00E55C2E">
        <w:rPr>
          <w:rFonts w:eastAsia="Times New Roman" w:cstheme="minorHAnsi"/>
        </w:rPr>
        <w:t>.</w:t>
      </w:r>
    </w:p>
    <w:p w:rsidR="00E55C2E" w:rsidRDefault="00E55C2E" w:rsidP="002F06CF">
      <w:pPr>
        <w:ind w:firstLine="720"/>
        <w:jc w:val="both"/>
        <w:rPr>
          <w:rFonts w:eastAsia="Times New Roman" w:cstheme="minorHAnsi"/>
        </w:rPr>
      </w:pPr>
    </w:p>
    <w:p w:rsidR="00E55C2E" w:rsidRDefault="00E55C2E" w:rsidP="002F06CF">
      <w:pPr>
        <w:ind w:firstLine="720"/>
        <w:jc w:val="both"/>
        <w:rPr>
          <w:rFonts w:eastAsia="Times New Roman" w:cstheme="minorHAnsi"/>
        </w:rPr>
      </w:pPr>
    </w:p>
    <w:p w:rsidR="00E55C2E" w:rsidRDefault="00E55C2E" w:rsidP="00A4016D">
      <w:pPr>
        <w:pStyle w:val="BodyText"/>
        <w:keepNext/>
        <w:spacing w:after="0"/>
        <w:ind w:left="4680" w:firstLine="0"/>
        <w:rPr>
          <w:szCs w:val="24"/>
        </w:rPr>
      </w:pPr>
      <w:r>
        <w:rPr>
          <w:szCs w:val="24"/>
        </w:rPr>
        <w:lastRenderedPageBreak/>
        <w:t>Respectfully submitted,</w:t>
      </w:r>
    </w:p>
    <w:p w:rsidR="00E55C2E" w:rsidRDefault="00E55C2E" w:rsidP="00A4016D">
      <w:pPr>
        <w:pStyle w:val="BodyText"/>
        <w:keepNext/>
        <w:spacing w:after="0"/>
        <w:ind w:left="4680" w:firstLine="0"/>
        <w:rPr>
          <w:szCs w:val="24"/>
        </w:rPr>
      </w:pPr>
    </w:p>
    <w:p w:rsidR="00A4016D" w:rsidRDefault="00E55C2E" w:rsidP="00A4016D">
      <w:pPr>
        <w:pStyle w:val="BodyText"/>
        <w:spacing w:after="0"/>
        <w:ind w:left="4680" w:firstLine="0"/>
        <w:rPr>
          <w:szCs w:val="24"/>
        </w:rPr>
      </w:pPr>
      <w:r w:rsidRPr="00B82BCE">
        <w:rPr>
          <w:noProof/>
          <w:szCs w:val="24"/>
        </w:rPr>
        <w:drawing>
          <wp:inline distT="0" distB="0" distL="0" distR="0" wp14:anchorId="7B602E54" wp14:editId="33DE5722">
            <wp:extent cx="1704975" cy="406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442" cy="417562"/>
                    </a:xfrm>
                    <a:prstGeom prst="rect">
                      <a:avLst/>
                    </a:prstGeom>
                    <a:noFill/>
                    <a:ln>
                      <a:noFill/>
                    </a:ln>
                  </pic:spPr>
                </pic:pic>
              </a:graphicData>
            </a:graphic>
          </wp:inline>
        </w:drawing>
      </w:r>
      <w:r>
        <w:rPr>
          <w:szCs w:val="24"/>
        </w:rPr>
        <w:t>________</w:t>
      </w:r>
      <w:r w:rsidR="00714DA1">
        <w:rPr>
          <w:szCs w:val="24"/>
        </w:rPr>
        <w:t>______________________</w:t>
      </w:r>
    </w:p>
    <w:p w:rsidR="00A4016D" w:rsidRPr="00E55C2E" w:rsidRDefault="00A4016D" w:rsidP="00A4016D">
      <w:pPr>
        <w:pStyle w:val="BodyText"/>
        <w:spacing w:after="0"/>
        <w:ind w:firstLine="0"/>
        <w:rPr>
          <w:rFonts w:eastAsia="Times New Roman"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140"/>
      </w:tblGrid>
      <w:tr w:rsidR="00714DA1" w:rsidRPr="00714DA1" w:rsidTr="008C0D2A">
        <w:tc>
          <w:tcPr>
            <w:tcW w:w="4770" w:type="dxa"/>
          </w:tcPr>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*Walter Smith</w:t>
            </w:r>
          </w:p>
          <w:p w:rsidR="00714DA1" w:rsidRPr="00714DA1" w:rsidRDefault="00714DA1" w:rsidP="00714DA1">
            <w:pPr>
              <w:pStyle w:val="BodyText"/>
              <w:spacing w:after="0"/>
              <w:ind w:firstLine="162"/>
              <w:jc w:val="left"/>
              <w:rPr>
                <w:rFonts w:eastAsia="Times New Roman" w:cstheme="minorHAnsi"/>
                <w:sz w:val="24"/>
              </w:rPr>
            </w:pPr>
            <w:r w:rsidRPr="00714DA1">
              <w:rPr>
                <w:rFonts w:eastAsia="Times New Roman" w:cstheme="minorHAnsi"/>
                <w:sz w:val="24"/>
              </w:rPr>
              <w:t>(D.C. Bar No. 238949)</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D</w:t>
            </w:r>
            <w:r w:rsidR="008C0D2A">
              <w:rPr>
                <w:rFonts w:eastAsia="Times New Roman" w:cstheme="minorHAnsi"/>
                <w:sz w:val="24"/>
              </w:rPr>
              <w:t>.</w:t>
            </w:r>
            <w:r w:rsidRPr="00714DA1">
              <w:rPr>
                <w:rFonts w:eastAsia="Times New Roman" w:cstheme="minorHAnsi"/>
                <w:sz w:val="24"/>
              </w:rPr>
              <w:t>C</w:t>
            </w:r>
            <w:r w:rsidR="008C0D2A">
              <w:rPr>
                <w:rFonts w:eastAsia="Times New Roman" w:cstheme="minorHAnsi"/>
                <w:sz w:val="24"/>
              </w:rPr>
              <w:t>.</w:t>
            </w:r>
            <w:r w:rsidRPr="00714DA1">
              <w:rPr>
                <w:rFonts w:eastAsia="Times New Roman" w:cstheme="minorHAnsi"/>
                <w:sz w:val="24"/>
              </w:rPr>
              <w:t xml:space="preserve"> Appleseed Center for Law &amp;</w:t>
            </w:r>
            <w:r>
              <w:rPr>
                <w:rFonts w:eastAsia="Times New Roman" w:cstheme="minorHAnsi"/>
                <w:sz w:val="24"/>
              </w:rPr>
              <w:t xml:space="preserve"> </w:t>
            </w:r>
            <w:r w:rsidRPr="00714DA1">
              <w:rPr>
                <w:rFonts w:eastAsia="Times New Roman" w:cstheme="minorHAnsi"/>
                <w:sz w:val="24"/>
              </w:rPr>
              <w:t>Justice, Inc.</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1111 Fourteenth Street, NW,</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Suite 510</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Washington, D.C. 20005</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Tel: (202) 289-8007</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Fax: (202) 289-8009</w:t>
            </w:r>
          </w:p>
          <w:p w:rsid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wsmith@dcappleseed.org</w:t>
            </w:r>
          </w:p>
          <w:p w:rsidR="00714DA1" w:rsidRPr="00714DA1" w:rsidRDefault="00714DA1" w:rsidP="00714DA1">
            <w:pPr>
              <w:pStyle w:val="BodyText"/>
              <w:spacing w:after="0"/>
              <w:ind w:firstLine="0"/>
              <w:jc w:val="left"/>
              <w:rPr>
                <w:rFonts w:eastAsia="Times New Roman" w:cstheme="minorHAnsi"/>
                <w:sz w:val="24"/>
              </w:rPr>
            </w:pPr>
          </w:p>
        </w:tc>
        <w:tc>
          <w:tcPr>
            <w:tcW w:w="4140" w:type="dxa"/>
            <w:vMerge w:val="restart"/>
          </w:tcPr>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Marialuisa Gallozzi</w:t>
            </w:r>
          </w:p>
          <w:p w:rsidR="00714DA1" w:rsidRPr="00714DA1" w:rsidRDefault="00714DA1" w:rsidP="00714DA1">
            <w:pPr>
              <w:pStyle w:val="BodyText"/>
              <w:spacing w:after="0"/>
              <w:ind w:firstLine="162"/>
              <w:jc w:val="left"/>
              <w:rPr>
                <w:rFonts w:eastAsia="Times New Roman" w:cstheme="minorHAnsi"/>
                <w:sz w:val="24"/>
              </w:rPr>
            </w:pPr>
            <w:r w:rsidRPr="00714DA1">
              <w:rPr>
                <w:rFonts w:eastAsia="Times New Roman" w:cstheme="minorHAnsi"/>
                <w:sz w:val="24"/>
              </w:rPr>
              <w:t>(D.C. Bar No. 413874)</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 xml:space="preserve">Beth </w:t>
            </w:r>
            <w:proofErr w:type="spellStart"/>
            <w:r w:rsidRPr="00714DA1">
              <w:rPr>
                <w:rFonts w:eastAsia="Times New Roman" w:cstheme="minorHAnsi"/>
                <w:sz w:val="24"/>
              </w:rPr>
              <w:t>Brinkmann</w:t>
            </w:r>
            <w:proofErr w:type="spellEnd"/>
          </w:p>
          <w:p w:rsidR="00714DA1" w:rsidRPr="00714DA1" w:rsidRDefault="00714DA1" w:rsidP="00714DA1">
            <w:pPr>
              <w:pStyle w:val="BodyText"/>
              <w:spacing w:after="0"/>
              <w:ind w:firstLine="162"/>
              <w:jc w:val="left"/>
              <w:rPr>
                <w:rFonts w:eastAsia="Times New Roman" w:cstheme="minorHAnsi"/>
                <w:sz w:val="24"/>
              </w:rPr>
            </w:pPr>
            <w:r w:rsidRPr="00714DA1">
              <w:rPr>
                <w:rFonts w:eastAsia="Times New Roman" w:cstheme="minorHAnsi"/>
                <w:sz w:val="24"/>
              </w:rPr>
              <w:t>(D.C. Bar No. 477771)</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Bradley K. Ervin</w:t>
            </w:r>
          </w:p>
          <w:p w:rsidR="00714DA1" w:rsidRPr="00714DA1" w:rsidRDefault="00714DA1" w:rsidP="00714DA1">
            <w:pPr>
              <w:pStyle w:val="BodyText"/>
              <w:spacing w:after="0"/>
              <w:ind w:firstLine="162"/>
              <w:jc w:val="left"/>
              <w:rPr>
                <w:rFonts w:eastAsia="Times New Roman" w:cstheme="minorHAnsi"/>
                <w:sz w:val="24"/>
              </w:rPr>
            </w:pPr>
            <w:r w:rsidRPr="00714DA1">
              <w:rPr>
                <w:rFonts w:eastAsia="Times New Roman" w:cstheme="minorHAnsi"/>
                <w:sz w:val="24"/>
              </w:rPr>
              <w:t>(D.C. Bar No. 982559)</w:t>
            </w:r>
          </w:p>
          <w:p w:rsidR="00714DA1" w:rsidRPr="00714DA1" w:rsidRDefault="00334B6B" w:rsidP="00714DA1">
            <w:pPr>
              <w:pStyle w:val="BodyText"/>
              <w:spacing w:after="0"/>
              <w:ind w:firstLine="0"/>
              <w:jc w:val="left"/>
              <w:rPr>
                <w:rFonts w:eastAsia="Times New Roman" w:cstheme="minorHAnsi"/>
                <w:sz w:val="24"/>
              </w:rPr>
            </w:pPr>
            <w:r>
              <w:rPr>
                <w:rFonts w:eastAsia="Times New Roman" w:cstheme="minorHAnsi"/>
              </w:rPr>
              <w:t>Covington &amp; Burling</w:t>
            </w:r>
            <w:r w:rsidR="00714DA1" w:rsidRPr="00714DA1">
              <w:rPr>
                <w:rFonts w:eastAsia="Times New Roman" w:cstheme="minorHAnsi"/>
                <w:sz w:val="24"/>
              </w:rPr>
              <w:t xml:space="preserve"> LLP</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 xml:space="preserve">One </w:t>
            </w:r>
            <w:proofErr w:type="spellStart"/>
            <w:r w:rsidR="008C0D2A">
              <w:rPr>
                <w:rFonts w:eastAsia="Times New Roman" w:cstheme="minorHAnsi"/>
                <w:sz w:val="24"/>
              </w:rPr>
              <w:t>CityCenter</w:t>
            </w:r>
            <w:proofErr w:type="spellEnd"/>
            <w:r w:rsidR="008C0D2A">
              <w:rPr>
                <w:rFonts w:eastAsia="Times New Roman" w:cstheme="minorHAnsi"/>
                <w:sz w:val="24"/>
              </w:rPr>
              <w:t>, 850 Tenth Street, NW</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Washington, D</w:t>
            </w:r>
            <w:r w:rsidR="008C0D2A">
              <w:rPr>
                <w:rFonts w:eastAsia="Times New Roman" w:cstheme="minorHAnsi"/>
                <w:sz w:val="24"/>
              </w:rPr>
              <w:t>.</w:t>
            </w:r>
            <w:r w:rsidRPr="00714DA1">
              <w:rPr>
                <w:rFonts w:eastAsia="Times New Roman" w:cstheme="minorHAnsi"/>
                <w:sz w:val="24"/>
              </w:rPr>
              <w:t>C</w:t>
            </w:r>
            <w:r w:rsidR="008C0D2A">
              <w:rPr>
                <w:rFonts w:eastAsia="Times New Roman" w:cstheme="minorHAnsi"/>
                <w:sz w:val="24"/>
              </w:rPr>
              <w:t>.</w:t>
            </w:r>
            <w:r w:rsidRPr="00714DA1">
              <w:rPr>
                <w:rFonts w:eastAsia="Times New Roman" w:cstheme="minorHAnsi"/>
                <w:sz w:val="24"/>
              </w:rPr>
              <w:t xml:space="preserve"> 20001</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Tel: (202) 662-6000</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Fax: (202) 662-6291</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mgallozzi@cov.com</w:t>
            </w:r>
          </w:p>
        </w:tc>
      </w:tr>
      <w:tr w:rsidR="00714DA1" w:rsidRPr="00714DA1" w:rsidTr="008C0D2A">
        <w:tc>
          <w:tcPr>
            <w:tcW w:w="4770" w:type="dxa"/>
          </w:tcPr>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Richard B. Herzog</w:t>
            </w:r>
          </w:p>
          <w:p w:rsidR="00714DA1" w:rsidRPr="00714DA1" w:rsidRDefault="00714DA1" w:rsidP="00714DA1">
            <w:pPr>
              <w:pStyle w:val="BodyText"/>
              <w:spacing w:after="0"/>
              <w:ind w:firstLine="162"/>
              <w:jc w:val="left"/>
              <w:rPr>
                <w:rFonts w:eastAsia="Times New Roman" w:cstheme="minorHAnsi"/>
                <w:sz w:val="24"/>
              </w:rPr>
            </w:pPr>
            <w:r w:rsidRPr="00714DA1">
              <w:rPr>
                <w:rFonts w:eastAsia="Times New Roman" w:cstheme="minorHAnsi"/>
                <w:sz w:val="24"/>
              </w:rPr>
              <w:t>(</w:t>
            </w:r>
            <w:r>
              <w:rPr>
                <w:rFonts w:eastAsia="Times New Roman" w:cstheme="minorHAnsi"/>
                <w:sz w:val="24"/>
              </w:rPr>
              <w:t xml:space="preserve">D.C. </w:t>
            </w:r>
            <w:r w:rsidRPr="00714DA1">
              <w:rPr>
                <w:rFonts w:eastAsia="Times New Roman" w:cstheme="minorHAnsi"/>
                <w:sz w:val="24"/>
              </w:rPr>
              <w:t>Bar No. 17731)</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Harkins Cunningham LLP</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1700 K Street</w:t>
            </w:r>
            <w:r w:rsidR="008C0D2A">
              <w:rPr>
                <w:rFonts w:eastAsia="Times New Roman" w:cstheme="minorHAnsi"/>
                <w:sz w:val="24"/>
              </w:rPr>
              <w:t>,</w:t>
            </w:r>
            <w:r w:rsidRPr="00714DA1">
              <w:rPr>
                <w:rFonts w:eastAsia="Times New Roman" w:cstheme="minorHAnsi"/>
                <w:sz w:val="24"/>
              </w:rPr>
              <w:t xml:space="preserve"> NW, Suite 400,</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Washington</w:t>
            </w:r>
            <w:r w:rsidR="008C0D2A">
              <w:rPr>
                <w:rFonts w:eastAsia="Times New Roman" w:cstheme="minorHAnsi"/>
                <w:sz w:val="24"/>
              </w:rPr>
              <w:t>,</w:t>
            </w:r>
            <w:r w:rsidRPr="00714DA1">
              <w:rPr>
                <w:rFonts w:eastAsia="Times New Roman" w:cstheme="minorHAnsi"/>
                <w:sz w:val="24"/>
              </w:rPr>
              <w:t xml:space="preserve"> D</w:t>
            </w:r>
            <w:r w:rsidR="008C0D2A">
              <w:rPr>
                <w:rFonts w:eastAsia="Times New Roman" w:cstheme="minorHAnsi"/>
                <w:sz w:val="24"/>
              </w:rPr>
              <w:t>.</w:t>
            </w:r>
            <w:r w:rsidRPr="00714DA1">
              <w:rPr>
                <w:rFonts w:eastAsia="Times New Roman" w:cstheme="minorHAnsi"/>
                <w:sz w:val="24"/>
              </w:rPr>
              <w:t>C</w:t>
            </w:r>
            <w:r w:rsidR="008C0D2A">
              <w:rPr>
                <w:rFonts w:eastAsia="Times New Roman" w:cstheme="minorHAnsi"/>
                <w:sz w:val="24"/>
              </w:rPr>
              <w:t>.</w:t>
            </w:r>
            <w:r w:rsidRPr="00714DA1">
              <w:rPr>
                <w:rFonts w:eastAsia="Times New Roman" w:cstheme="minorHAnsi"/>
                <w:sz w:val="24"/>
              </w:rPr>
              <w:t xml:space="preserve"> 20006</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Tel: (202) 973-7602</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Fax: (202)973-7610</w:t>
            </w:r>
          </w:p>
          <w:p w:rsidR="00714DA1" w:rsidRPr="00714DA1" w:rsidRDefault="00714DA1" w:rsidP="00714DA1">
            <w:pPr>
              <w:pStyle w:val="BodyText"/>
              <w:spacing w:after="0"/>
              <w:ind w:firstLine="0"/>
              <w:jc w:val="left"/>
              <w:rPr>
                <w:rFonts w:eastAsia="Times New Roman" w:cstheme="minorHAnsi"/>
                <w:sz w:val="24"/>
              </w:rPr>
            </w:pPr>
            <w:r w:rsidRPr="00714DA1">
              <w:rPr>
                <w:rFonts w:eastAsia="Times New Roman" w:cstheme="minorHAnsi"/>
                <w:sz w:val="24"/>
              </w:rPr>
              <w:t>rbh@harkinscunningham.com</w:t>
            </w:r>
          </w:p>
        </w:tc>
        <w:tc>
          <w:tcPr>
            <w:tcW w:w="4140" w:type="dxa"/>
            <w:vMerge/>
          </w:tcPr>
          <w:p w:rsidR="00714DA1" w:rsidRPr="00714DA1" w:rsidRDefault="00714DA1" w:rsidP="00714DA1">
            <w:pPr>
              <w:pStyle w:val="BodyText"/>
              <w:spacing w:after="0"/>
              <w:ind w:firstLine="0"/>
              <w:jc w:val="left"/>
              <w:rPr>
                <w:rFonts w:eastAsia="Times New Roman" w:cstheme="minorHAnsi"/>
                <w:sz w:val="24"/>
              </w:rPr>
            </w:pPr>
          </w:p>
        </w:tc>
      </w:tr>
      <w:tr w:rsidR="00A4016D" w:rsidRPr="00714DA1" w:rsidTr="008C0D2A">
        <w:tc>
          <w:tcPr>
            <w:tcW w:w="4770" w:type="dxa"/>
          </w:tcPr>
          <w:p w:rsidR="00A4016D" w:rsidRPr="00714DA1" w:rsidRDefault="00A4016D" w:rsidP="00714DA1">
            <w:pPr>
              <w:pStyle w:val="BodyText"/>
              <w:spacing w:after="0"/>
              <w:ind w:firstLine="0"/>
              <w:jc w:val="left"/>
              <w:rPr>
                <w:rFonts w:eastAsia="Times New Roman" w:cstheme="minorHAnsi"/>
                <w:sz w:val="24"/>
              </w:rPr>
            </w:pPr>
          </w:p>
        </w:tc>
        <w:tc>
          <w:tcPr>
            <w:tcW w:w="4140" w:type="dxa"/>
          </w:tcPr>
          <w:p w:rsidR="00A4016D" w:rsidRPr="00714DA1" w:rsidRDefault="00714DA1" w:rsidP="00714DA1">
            <w:pPr>
              <w:pStyle w:val="BodyText"/>
              <w:spacing w:after="0"/>
              <w:ind w:firstLine="0"/>
              <w:jc w:val="left"/>
              <w:rPr>
                <w:rFonts w:eastAsia="Times New Roman" w:cstheme="minorHAnsi"/>
                <w:i/>
                <w:sz w:val="24"/>
              </w:rPr>
            </w:pPr>
            <w:r w:rsidRPr="00714DA1">
              <w:rPr>
                <w:rFonts w:eastAsia="Times New Roman" w:cstheme="minorHAnsi"/>
                <w:i/>
                <w:sz w:val="24"/>
              </w:rPr>
              <w:t>Counsel for Appleseed</w:t>
            </w:r>
          </w:p>
        </w:tc>
      </w:tr>
    </w:tbl>
    <w:p w:rsidR="00E55C2E" w:rsidRPr="00E55C2E" w:rsidRDefault="00E55C2E" w:rsidP="00E55C2E">
      <w:pPr>
        <w:pStyle w:val="BodyText"/>
        <w:spacing w:after="0"/>
        <w:ind w:left="5760" w:firstLine="0"/>
        <w:jc w:val="left"/>
        <w:rPr>
          <w:rFonts w:eastAsia="Times New Roman" w:cstheme="minorHAnsi"/>
        </w:rPr>
        <w:sectPr w:rsidR="00E55C2E" w:rsidRPr="00E55C2E" w:rsidSect="00EC6FF5">
          <w:pgSz w:w="12240" w:h="15840"/>
          <w:pgMar w:top="1440" w:right="1440" w:bottom="1440" w:left="1440" w:header="720" w:footer="720" w:gutter="0"/>
          <w:pgNumType w:start="1"/>
          <w:cols w:space="720"/>
          <w:docGrid w:linePitch="360"/>
        </w:sectPr>
      </w:pPr>
    </w:p>
    <w:p w:rsidR="00BD56EA" w:rsidRDefault="00BD56EA" w:rsidP="00BD56EA">
      <w:pPr>
        <w:pStyle w:val="BodyText"/>
        <w:spacing w:after="0" w:line="480" w:lineRule="auto"/>
        <w:jc w:val="center"/>
        <w:rPr>
          <w:b/>
          <w:szCs w:val="24"/>
        </w:rPr>
      </w:pPr>
      <w:r>
        <w:rPr>
          <w:b/>
          <w:szCs w:val="24"/>
        </w:rPr>
        <w:lastRenderedPageBreak/>
        <w:t>CERTIFICATE OF SERVICE</w:t>
      </w:r>
    </w:p>
    <w:p w:rsidR="00BD56EA" w:rsidRDefault="00BD56EA" w:rsidP="00BD56EA">
      <w:pPr>
        <w:pStyle w:val="BodyText"/>
        <w:spacing w:after="0" w:line="480" w:lineRule="auto"/>
        <w:rPr>
          <w:szCs w:val="24"/>
        </w:rPr>
      </w:pPr>
      <w:r>
        <w:rPr>
          <w:szCs w:val="24"/>
        </w:rPr>
        <w:t xml:space="preserve">I certify that on this </w:t>
      </w:r>
      <w:r w:rsidR="00A83E1F">
        <w:rPr>
          <w:szCs w:val="24"/>
        </w:rPr>
        <w:t>14</w:t>
      </w:r>
      <w:r>
        <w:rPr>
          <w:szCs w:val="24"/>
        </w:rPr>
        <w:t xml:space="preserve">th day of </w:t>
      </w:r>
      <w:r w:rsidR="00CF7A1E">
        <w:rPr>
          <w:szCs w:val="24"/>
        </w:rPr>
        <w:t>May</w:t>
      </w:r>
      <w:r>
        <w:rPr>
          <w:szCs w:val="24"/>
        </w:rPr>
        <w:t>, 20</w:t>
      </w:r>
      <w:r w:rsidR="00CF7A1E">
        <w:rPr>
          <w:szCs w:val="24"/>
        </w:rPr>
        <w:t>20</w:t>
      </w:r>
      <w:r>
        <w:rPr>
          <w:szCs w:val="24"/>
        </w:rPr>
        <w:t>, I caused one copy of the foregoing to be sent by electronic mail to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460"/>
      </w:tblGrid>
      <w:tr w:rsidR="00BD56EA" w:rsidTr="00390E78">
        <w:tc>
          <w:tcPr>
            <w:tcW w:w="4675" w:type="dxa"/>
          </w:tcPr>
          <w:p w:rsidR="006B59F3" w:rsidRDefault="00BD56EA" w:rsidP="00FC0E8F">
            <w:pPr>
              <w:pStyle w:val="BodyText"/>
              <w:spacing w:after="0"/>
              <w:ind w:firstLine="0"/>
              <w:jc w:val="left"/>
              <w:rPr>
                <w:rFonts w:eastAsiaTheme="minorHAnsi"/>
                <w:szCs w:val="24"/>
              </w:rPr>
            </w:pPr>
            <w:r w:rsidRPr="0056574D">
              <w:rPr>
                <w:szCs w:val="24"/>
              </w:rPr>
              <w:t xml:space="preserve">Adam Levi, Assistant General Counsel </w:t>
            </w:r>
          </w:p>
          <w:p w:rsidR="006B59F3" w:rsidRDefault="00BD56EA" w:rsidP="00FC0E8F">
            <w:pPr>
              <w:pStyle w:val="BodyText"/>
              <w:spacing w:after="0"/>
              <w:ind w:firstLine="0"/>
              <w:jc w:val="left"/>
              <w:rPr>
                <w:rFonts w:eastAsiaTheme="minorHAnsi"/>
                <w:szCs w:val="24"/>
              </w:rPr>
            </w:pPr>
            <w:r w:rsidRPr="0056574D">
              <w:rPr>
                <w:szCs w:val="24"/>
              </w:rPr>
              <w:t xml:space="preserve">D.C. Department of Insurance and Securities Regulation </w:t>
            </w:r>
          </w:p>
          <w:p w:rsidR="006B59F3" w:rsidRDefault="00BD56EA" w:rsidP="00FC0E8F">
            <w:pPr>
              <w:pStyle w:val="BodyText"/>
              <w:spacing w:after="0"/>
              <w:ind w:firstLine="0"/>
              <w:jc w:val="left"/>
              <w:rPr>
                <w:rFonts w:eastAsiaTheme="minorHAnsi"/>
                <w:szCs w:val="24"/>
              </w:rPr>
            </w:pPr>
            <w:r w:rsidRPr="0056574D">
              <w:rPr>
                <w:szCs w:val="24"/>
              </w:rPr>
              <w:t>810 First Street, NE, Suite 701</w:t>
            </w:r>
          </w:p>
          <w:p w:rsidR="006B59F3" w:rsidRDefault="00BD56EA" w:rsidP="00FC0E8F">
            <w:pPr>
              <w:pStyle w:val="BodyText"/>
              <w:spacing w:after="0"/>
              <w:ind w:firstLine="0"/>
              <w:jc w:val="left"/>
              <w:rPr>
                <w:rFonts w:eastAsiaTheme="minorHAnsi"/>
                <w:szCs w:val="24"/>
              </w:rPr>
            </w:pPr>
            <w:r w:rsidRPr="0056574D">
              <w:rPr>
                <w:szCs w:val="24"/>
              </w:rPr>
              <w:t>Washington, D.C. 20002</w:t>
            </w:r>
          </w:p>
          <w:p w:rsidR="006B59F3" w:rsidRDefault="00FC0E8F" w:rsidP="00FC0E8F">
            <w:pPr>
              <w:pStyle w:val="BodyText"/>
              <w:spacing w:after="0"/>
              <w:ind w:firstLine="0"/>
              <w:jc w:val="left"/>
              <w:rPr>
                <w:rFonts w:eastAsiaTheme="minorHAnsi"/>
                <w:szCs w:val="24"/>
              </w:rPr>
            </w:pPr>
            <w:r>
              <w:rPr>
                <w:szCs w:val="24"/>
              </w:rPr>
              <w:t xml:space="preserve">Phone: </w:t>
            </w:r>
            <w:r w:rsidR="00BD56EA" w:rsidRPr="0056574D">
              <w:rPr>
                <w:szCs w:val="24"/>
              </w:rPr>
              <w:t>202-442-7759</w:t>
            </w:r>
          </w:p>
          <w:p w:rsidR="006B59F3" w:rsidRDefault="00BD56EA" w:rsidP="00FC0E8F">
            <w:pPr>
              <w:pStyle w:val="BodyText"/>
              <w:spacing w:after="0"/>
              <w:ind w:firstLine="0"/>
              <w:jc w:val="left"/>
              <w:rPr>
                <w:rFonts w:eastAsiaTheme="minorHAnsi"/>
                <w:szCs w:val="24"/>
              </w:rPr>
            </w:pPr>
            <w:r w:rsidRPr="00C16EC4">
              <w:rPr>
                <w:szCs w:val="24"/>
              </w:rPr>
              <w:t>adam.levi@dc.gov</w:t>
            </w:r>
          </w:p>
          <w:p w:rsidR="006B59F3" w:rsidRDefault="006B59F3" w:rsidP="00FC0E8F">
            <w:pPr>
              <w:pStyle w:val="BodyText"/>
              <w:spacing w:after="0"/>
              <w:ind w:firstLine="0"/>
              <w:rPr>
                <w:rFonts w:eastAsiaTheme="minorHAnsi"/>
                <w:szCs w:val="24"/>
              </w:rPr>
            </w:pPr>
          </w:p>
          <w:p w:rsidR="006B59F3" w:rsidRDefault="00BD56EA" w:rsidP="00FC0E8F">
            <w:pPr>
              <w:pStyle w:val="BodyText"/>
              <w:spacing w:after="0"/>
              <w:ind w:firstLine="0"/>
              <w:rPr>
                <w:rFonts w:eastAsiaTheme="minorHAnsi"/>
                <w:szCs w:val="24"/>
              </w:rPr>
            </w:pPr>
            <w:r w:rsidRPr="00225FCF">
              <w:rPr>
                <w:szCs w:val="24"/>
              </w:rPr>
              <w:t xml:space="preserve">Loren </w:t>
            </w:r>
            <w:proofErr w:type="spellStart"/>
            <w:r w:rsidRPr="00225FCF">
              <w:rPr>
                <w:szCs w:val="24"/>
              </w:rPr>
              <w:t>AliKhan</w:t>
            </w:r>
            <w:proofErr w:type="spellEnd"/>
          </w:p>
          <w:p w:rsidR="006B59F3" w:rsidRDefault="00BD56EA" w:rsidP="00FC0E8F">
            <w:pPr>
              <w:pStyle w:val="BodyText"/>
              <w:spacing w:after="0"/>
              <w:ind w:firstLine="0"/>
              <w:rPr>
                <w:rFonts w:eastAsiaTheme="minorHAnsi"/>
                <w:szCs w:val="24"/>
              </w:rPr>
            </w:pPr>
            <w:r w:rsidRPr="00225FCF">
              <w:rPr>
                <w:szCs w:val="24"/>
              </w:rPr>
              <w:t>James McKay</w:t>
            </w:r>
          </w:p>
          <w:p w:rsidR="006B59F3" w:rsidRDefault="00BD56EA" w:rsidP="00FC0E8F">
            <w:pPr>
              <w:pStyle w:val="BodyText"/>
              <w:spacing w:after="0"/>
              <w:ind w:firstLine="0"/>
              <w:rPr>
                <w:rFonts w:eastAsiaTheme="minorHAnsi"/>
                <w:szCs w:val="24"/>
              </w:rPr>
            </w:pPr>
            <w:r w:rsidRPr="00225FCF">
              <w:rPr>
                <w:szCs w:val="24"/>
              </w:rPr>
              <w:t>Office of the Solicitor General</w:t>
            </w:r>
          </w:p>
          <w:p w:rsidR="006B59F3" w:rsidRDefault="00BD56EA" w:rsidP="00FC0E8F">
            <w:pPr>
              <w:pStyle w:val="BodyText"/>
              <w:spacing w:after="0"/>
              <w:ind w:firstLine="0"/>
              <w:rPr>
                <w:rFonts w:eastAsiaTheme="minorHAnsi"/>
                <w:szCs w:val="24"/>
              </w:rPr>
            </w:pPr>
            <w:r w:rsidRPr="00225FCF">
              <w:rPr>
                <w:szCs w:val="24"/>
              </w:rPr>
              <w:t>Office of the Attorney General for the</w:t>
            </w:r>
          </w:p>
          <w:p w:rsidR="006B59F3" w:rsidRDefault="00BD56EA" w:rsidP="00FC0E8F">
            <w:pPr>
              <w:pStyle w:val="BodyText"/>
              <w:spacing w:after="0"/>
              <w:ind w:firstLine="0"/>
              <w:rPr>
                <w:rFonts w:eastAsiaTheme="minorHAnsi"/>
                <w:szCs w:val="24"/>
              </w:rPr>
            </w:pPr>
            <w:r w:rsidRPr="00225FCF">
              <w:rPr>
                <w:szCs w:val="24"/>
              </w:rPr>
              <w:t>District of Columbia</w:t>
            </w:r>
          </w:p>
          <w:p w:rsidR="006B59F3" w:rsidRDefault="00BD56EA" w:rsidP="00FC0E8F">
            <w:pPr>
              <w:pStyle w:val="BodyText"/>
              <w:spacing w:after="0"/>
              <w:ind w:firstLine="0"/>
              <w:rPr>
                <w:rFonts w:eastAsiaTheme="minorHAnsi"/>
                <w:szCs w:val="24"/>
              </w:rPr>
            </w:pPr>
            <w:r w:rsidRPr="00225FCF">
              <w:rPr>
                <w:szCs w:val="24"/>
              </w:rPr>
              <w:t>441 4th Street, N.W., Suite 630</w:t>
            </w:r>
          </w:p>
          <w:p w:rsidR="006B59F3" w:rsidRDefault="00BD56EA" w:rsidP="00FC0E8F">
            <w:pPr>
              <w:pStyle w:val="BodyText"/>
              <w:spacing w:after="0"/>
              <w:ind w:firstLine="0"/>
              <w:rPr>
                <w:rFonts w:eastAsiaTheme="minorHAnsi"/>
                <w:szCs w:val="24"/>
              </w:rPr>
            </w:pPr>
            <w:r w:rsidRPr="00225FCF">
              <w:rPr>
                <w:szCs w:val="24"/>
              </w:rPr>
              <w:t>Washington, D.C. 20001</w:t>
            </w:r>
          </w:p>
          <w:p w:rsidR="006B59F3" w:rsidRDefault="00BD56EA" w:rsidP="00FC0E8F">
            <w:pPr>
              <w:pStyle w:val="BodyText"/>
              <w:spacing w:after="0"/>
              <w:ind w:firstLine="0"/>
              <w:rPr>
                <w:rFonts w:eastAsiaTheme="minorHAnsi"/>
                <w:szCs w:val="24"/>
              </w:rPr>
            </w:pPr>
            <w:r w:rsidRPr="00225FCF">
              <w:rPr>
                <w:szCs w:val="24"/>
              </w:rPr>
              <w:t>loren.alikhan@dc.gov</w:t>
            </w:r>
          </w:p>
          <w:p w:rsidR="006B59F3" w:rsidRDefault="00BD56EA" w:rsidP="00FC0E8F">
            <w:pPr>
              <w:pStyle w:val="BodyText"/>
              <w:spacing w:after="0"/>
              <w:ind w:firstLine="0"/>
              <w:rPr>
                <w:rFonts w:eastAsiaTheme="minorHAnsi"/>
                <w:szCs w:val="24"/>
              </w:rPr>
            </w:pPr>
            <w:r w:rsidRPr="00225FCF">
              <w:rPr>
                <w:szCs w:val="24"/>
              </w:rPr>
              <w:t>james.mckay@dc.gov</w:t>
            </w:r>
          </w:p>
        </w:tc>
        <w:tc>
          <w:tcPr>
            <w:tcW w:w="4675" w:type="dxa"/>
          </w:tcPr>
          <w:p w:rsidR="006B59F3" w:rsidRDefault="00BD56EA" w:rsidP="00FC0E8F">
            <w:pPr>
              <w:pStyle w:val="BodyText"/>
              <w:spacing w:after="0"/>
              <w:ind w:firstLine="0"/>
              <w:rPr>
                <w:rFonts w:eastAsiaTheme="minorHAnsi"/>
                <w:szCs w:val="24"/>
              </w:rPr>
            </w:pPr>
            <w:r w:rsidRPr="00254830">
              <w:rPr>
                <w:szCs w:val="24"/>
              </w:rPr>
              <w:t xml:space="preserve">Lisa </w:t>
            </w:r>
            <w:proofErr w:type="spellStart"/>
            <w:r w:rsidRPr="00254830">
              <w:rPr>
                <w:szCs w:val="24"/>
              </w:rPr>
              <w:t>Hertzer</w:t>
            </w:r>
            <w:proofErr w:type="spellEnd"/>
            <w:r w:rsidRPr="00254830">
              <w:rPr>
                <w:szCs w:val="24"/>
              </w:rPr>
              <w:t xml:space="preserve"> </w:t>
            </w:r>
            <w:proofErr w:type="spellStart"/>
            <w:r w:rsidRPr="00254830">
              <w:rPr>
                <w:szCs w:val="24"/>
              </w:rPr>
              <w:t>Schertler</w:t>
            </w:r>
            <w:proofErr w:type="spellEnd"/>
          </w:p>
          <w:p w:rsidR="006B59F3" w:rsidRDefault="00BD56EA" w:rsidP="00FC0E8F">
            <w:pPr>
              <w:pStyle w:val="BodyText"/>
              <w:spacing w:after="0"/>
              <w:ind w:firstLine="0"/>
              <w:rPr>
                <w:rFonts w:eastAsiaTheme="minorHAnsi"/>
                <w:szCs w:val="24"/>
              </w:rPr>
            </w:pPr>
            <w:proofErr w:type="spellStart"/>
            <w:r w:rsidRPr="00254830">
              <w:rPr>
                <w:szCs w:val="24"/>
              </w:rPr>
              <w:t>SCHERTLER</w:t>
            </w:r>
            <w:proofErr w:type="spellEnd"/>
            <w:r w:rsidRPr="00254830">
              <w:rPr>
                <w:szCs w:val="24"/>
              </w:rPr>
              <w:t xml:space="preserve"> &amp; </w:t>
            </w:r>
            <w:proofErr w:type="spellStart"/>
            <w:r w:rsidRPr="00254830">
              <w:rPr>
                <w:szCs w:val="24"/>
              </w:rPr>
              <w:t>ONORATO</w:t>
            </w:r>
            <w:proofErr w:type="spellEnd"/>
            <w:r w:rsidRPr="00254830">
              <w:rPr>
                <w:szCs w:val="24"/>
              </w:rPr>
              <w:t>, LLP</w:t>
            </w:r>
          </w:p>
          <w:p w:rsidR="006B59F3" w:rsidRDefault="00BD56EA" w:rsidP="00FC0E8F">
            <w:pPr>
              <w:pStyle w:val="BodyText"/>
              <w:spacing w:after="0"/>
              <w:ind w:firstLine="0"/>
              <w:rPr>
                <w:rFonts w:eastAsiaTheme="minorHAnsi"/>
                <w:szCs w:val="24"/>
              </w:rPr>
            </w:pPr>
            <w:r w:rsidRPr="00254830">
              <w:rPr>
                <w:szCs w:val="24"/>
              </w:rPr>
              <w:t>1101 Pennsylvania Ave., N.W.</w:t>
            </w:r>
          </w:p>
          <w:p w:rsidR="006B59F3" w:rsidRDefault="00BD56EA" w:rsidP="00FC0E8F">
            <w:pPr>
              <w:pStyle w:val="BodyText"/>
              <w:spacing w:after="0"/>
              <w:ind w:firstLine="0"/>
              <w:rPr>
                <w:rFonts w:eastAsiaTheme="minorHAnsi"/>
                <w:szCs w:val="24"/>
              </w:rPr>
            </w:pPr>
            <w:r w:rsidRPr="00254830">
              <w:rPr>
                <w:szCs w:val="24"/>
              </w:rPr>
              <w:t>Suite 1150</w:t>
            </w:r>
          </w:p>
          <w:p w:rsidR="006B59F3" w:rsidRDefault="00BD56EA" w:rsidP="00FC0E8F">
            <w:pPr>
              <w:pStyle w:val="BodyText"/>
              <w:spacing w:after="0"/>
              <w:ind w:firstLine="0"/>
              <w:rPr>
                <w:rFonts w:eastAsiaTheme="minorHAnsi"/>
                <w:szCs w:val="24"/>
              </w:rPr>
            </w:pPr>
            <w:r w:rsidRPr="00254830">
              <w:rPr>
                <w:szCs w:val="24"/>
              </w:rPr>
              <w:t>Washington, D.C. 20004</w:t>
            </w:r>
          </w:p>
          <w:p w:rsidR="006B59F3" w:rsidRDefault="00BD56EA" w:rsidP="00FC0E8F">
            <w:pPr>
              <w:pStyle w:val="BodyText"/>
              <w:spacing w:after="0"/>
              <w:ind w:firstLine="0"/>
              <w:rPr>
                <w:rFonts w:eastAsiaTheme="minorHAnsi"/>
                <w:szCs w:val="24"/>
              </w:rPr>
            </w:pPr>
            <w:r w:rsidRPr="00254830">
              <w:rPr>
                <w:szCs w:val="24"/>
              </w:rPr>
              <w:t>lschertler@schertlerlaw.com</w:t>
            </w:r>
          </w:p>
          <w:p w:rsidR="006B59F3" w:rsidRDefault="006B59F3" w:rsidP="00FC0E8F">
            <w:pPr>
              <w:pStyle w:val="BodyText"/>
              <w:spacing w:after="0"/>
              <w:ind w:firstLine="0"/>
              <w:rPr>
                <w:rFonts w:eastAsiaTheme="minorHAnsi"/>
                <w:szCs w:val="24"/>
              </w:rPr>
            </w:pPr>
          </w:p>
          <w:p w:rsidR="00BD56EA" w:rsidRPr="007A6FCC" w:rsidRDefault="00BD56EA" w:rsidP="00BD56EA">
            <w:pPr>
              <w:pStyle w:val="Default"/>
              <w:rPr>
                <w:sz w:val="22"/>
                <w:szCs w:val="22"/>
              </w:rPr>
            </w:pPr>
            <w:r w:rsidRPr="007A6FCC">
              <w:rPr>
                <w:sz w:val="22"/>
                <w:szCs w:val="22"/>
              </w:rPr>
              <w:t xml:space="preserve">Michelle S. </w:t>
            </w:r>
            <w:proofErr w:type="spellStart"/>
            <w:r w:rsidRPr="007A6FCC">
              <w:rPr>
                <w:sz w:val="22"/>
                <w:szCs w:val="22"/>
              </w:rPr>
              <w:t>Kallen</w:t>
            </w:r>
            <w:proofErr w:type="spellEnd"/>
            <w:r w:rsidRPr="007A6FCC">
              <w:rPr>
                <w:sz w:val="22"/>
                <w:szCs w:val="22"/>
              </w:rPr>
              <w:t xml:space="preserve"> </w:t>
            </w:r>
          </w:p>
          <w:p w:rsidR="00BD56EA" w:rsidRPr="007A6FCC" w:rsidRDefault="00BD56EA" w:rsidP="00BD56EA">
            <w:pPr>
              <w:pStyle w:val="Default"/>
              <w:rPr>
                <w:sz w:val="22"/>
                <w:szCs w:val="22"/>
              </w:rPr>
            </w:pPr>
            <w:r w:rsidRPr="007A6FCC">
              <w:rPr>
                <w:sz w:val="22"/>
                <w:szCs w:val="22"/>
              </w:rPr>
              <w:t xml:space="preserve">Office of the Attorney General of Virginia </w:t>
            </w:r>
          </w:p>
          <w:p w:rsidR="00BD56EA" w:rsidRPr="007A6FCC" w:rsidRDefault="00BD56EA" w:rsidP="002B3C14">
            <w:pPr>
              <w:pStyle w:val="Default"/>
              <w:rPr>
                <w:sz w:val="22"/>
                <w:szCs w:val="22"/>
              </w:rPr>
            </w:pPr>
            <w:r w:rsidRPr="007A6FCC">
              <w:rPr>
                <w:sz w:val="22"/>
                <w:szCs w:val="22"/>
              </w:rPr>
              <w:t xml:space="preserve">202 North Ninth Street </w:t>
            </w:r>
          </w:p>
          <w:p w:rsidR="00BD56EA" w:rsidRPr="007A6FCC" w:rsidRDefault="00BD56EA" w:rsidP="002B3C14">
            <w:pPr>
              <w:pStyle w:val="Default"/>
              <w:rPr>
                <w:sz w:val="22"/>
                <w:szCs w:val="22"/>
              </w:rPr>
            </w:pPr>
            <w:r w:rsidRPr="007A6FCC">
              <w:rPr>
                <w:sz w:val="22"/>
                <w:szCs w:val="22"/>
              </w:rPr>
              <w:t xml:space="preserve">Richmond, VA 23219 </w:t>
            </w:r>
          </w:p>
          <w:p w:rsidR="006B59F3" w:rsidRDefault="00BD56EA" w:rsidP="00FC0E8F">
            <w:pPr>
              <w:pStyle w:val="BodyText"/>
              <w:spacing w:after="0"/>
              <w:ind w:firstLine="0"/>
              <w:rPr>
                <w:rFonts w:eastAsiaTheme="minorHAnsi"/>
                <w:szCs w:val="24"/>
              </w:rPr>
            </w:pPr>
            <w:r w:rsidRPr="007A6FCC">
              <w:rPr>
                <w:szCs w:val="22"/>
              </w:rPr>
              <w:t xml:space="preserve">mkallen@oag.state.va.us </w:t>
            </w:r>
          </w:p>
        </w:tc>
      </w:tr>
    </w:tbl>
    <w:p w:rsidR="00BD56EA" w:rsidRDefault="00BD56EA" w:rsidP="00BD56EA">
      <w:pPr>
        <w:pStyle w:val="BodyText"/>
        <w:spacing w:after="0"/>
        <w:ind w:left="720"/>
        <w:rPr>
          <w:szCs w:val="24"/>
        </w:rPr>
      </w:pPr>
    </w:p>
    <w:p w:rsidR="00A83E1F" w:rsidRDefault="00A83E1F" w:rsidP="00BD56EA">
      <w:pPr>
        <w:pStyle w:val="BodyText"/>
        <w:spacing w:after="0"/>
        <w:ind w:left="720"/>
        <w:rPr>
          <w:szCs w:val="24"/>
        </w:rPr>
      </w:pPr>
    </w:p>
    <w:p w:rsidR="00BD56EA" w:rsidRDefault="00BD56EA" w:rsidP="00A83E1F">
      <w:pPr>
        <w:pStyle w:val="BodyText"/>
        <w:spacing w:after="0"/>
        <w:ind w:firstLine="0"/>
        <w:rPr>
          <w:szCs w:val="24"/>
        </w:rPr>
      </w:pPr>
      <w:r>
        <w:rPr>
          <w:szCs w:val="24"/>
        </w:rPr>
        <w:t>I also caused one copy of the foregoing to be sent by U.S. mail to the following:</w:t>
      </w:r>
    </w:p>
    <w:p w:rsidR="00BD56EA" w:rsidRDefault="00BD56EA" w:rsidP="00BD56EA">
      <w:pPr>
        <w:pStyle w:val="BodyText"/>
        <w:spacing w:after="0"/>
        <w:ind w:left="720"/>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41"/>
      </w:tblGrid>
      <w:tr w:rsidR="00BD56EA" w:rsidTr="00390E78">
        <w:tc>
          <w:tcPr>
            <w:tcW w:w="4675" w:type="dxa"/>
          </w:tcPr>
          <w:p w:rsidR="006B59F3" w:rsidRDefault="00BD56EA" w:rsidP="00FC0E8F">
            <w:pPr>
              <w:pStyle w:val="BodyText"/>
              <w:spacing w:after="0"/>
              <w:ind w:hanging="23"/>
              <w:rPr>
                <w:rFonts w:eastAsiaTheme="minorHAnsi"/>
                <w:szCs w:val="24"/>
              </w:rPr>
            </w:pPr>
            <w:r w:rsidRPr="00164E17">
              <w:rPr>
                <w:szCs w:val="24"/>
              </w:rPr>
              <w:t>Virginia Bureau of Insurance</w:t>
            </w:r>
          </w:p>
          <w:p w:rsidR="006B59F3" w:rsidRDefault="00BD56EA" w:rsidP="00FC0E8F">
            <w:pPr>
              <w:pStyle w:val="BodyText"/>
              <w:spacing w:after="0"/>
              <w:ind w:hanging="23"/>
              <w:rPr>
                <w:rFonts w:eastAsiaTheme="minorHAnsi"/>
                <w:szCs w:val="24"/>
              </w:rPr>
            </w:pPr>
            <w:r w:rsidRPr="00164E17">
              <w:rPr>
                <w:szCs w:val="24"/>
              </w:rPr>
              <w:t>P.O. Box 1157</w:t>
            </w:r>
          </w:p>
          <w:p w:rsidR="006B59F3" w:rsidRDefault="00BD56EA" w:rsidP="00FC0E8F">
            <w:pPr>
              <w:pStyle w:val="BodyText"/>
              <w:spacing w:after="0"/>
              <w:ind w:hanging="23"/>
              <w:rPr>
                <w:rFonts w:eastAsiaTheme="minorHAnsi"/>
                <w:szCs w:val="24"/>
              </w:rPr>
            </w:pPr>
            <w:r w:rsidRPr="00164E17">
              <w:rPr>
                <w:szCs w:val="24"/>
              </w:rPr>
              <w:t>Richmond, Virginia 23218-1157</w:t>
            </w:r>
          </w:p>
          <w:p w:rsidR="00BD56EA" w:rsidRDefault="00BD56EA" w:rsidP="00390E78">
            <w:pPr>
              <w:pStyle w:val="BodyText"/>
              <w:spacing w:after="0"/>
              <w:rPr>
                <w:szCs w:val="24"/>
              </w:rPr>
            </w:pPr>
          </w:p>
          <w:p w:rsidR="00BD56EA" w:rsidRDefault="00BD56EA" w:rsidP="00390E78">
            <w:pPr>
              <w:pStyle w:val="BodyText"/>
              <w:spacing w:after="0"/>
              <w:rPr>
                <w:szCs w:val="24"/>
              </w:rPr>
            </w:pPr>
          </w:p>
        </w:tc>
        <w:tc>
          <w:tcPr>
            <w:tcW w:w="4675" w:type="dxa"/>
          </w:tcPr>
          <w:p w:rsidR="006B59F3" w:rsidRDefault="00BD56EA" w:rsidP="00FC0E8F">
            <w:pPr>
              <w:pStyle w:val="BodyText"/>
              <w:spacing w:after="0"/>
              <w:ind w:hanging="23"/>
              <w:rPr>
                <w:rFonts w:eastAsiaTheme="minorHAnsi"/>
                <w:szCs w:val="24"/>
              </w:rPr>
            </w:pPr>
            <w:r w:rsidRPr="00164E17">
              <w:rPr>
                <w:szCs w:val="24"/>
              </w:rPr>
              <w:t>Maryland Office of the Attorney General</w:t>
            </w:r>
          </w:p>
          <w:p w:rsidR="006B59F3" w:rsidRDefault="00BD56EA" w:rsidP="00FC0E8F">
            <w:pPr>
              <w:pStyle w:val="BodyText"/>
              <w:spacing w:after="0"/>
              <w:ind w:hanging="23"/>
              <w:rPr>
                <w:rFonts w:eastAsiaTheme="minorHAnsi"/>
                <w:szCs w:val="24"/>
              </w:rPr>
            </w:pPr>
            <w:r w:rsidRPr="00164E17">
              <w:rPr>
                <w:szCs w:val="24"/>
              </w:rPr>
              <w:t>200 St. Paul Place</w:t>
            </w:r>
          </w:p>
          <w:p w:rsidR="006B59F3" w:rsidRDefault="00BD56EA" w:rsidP="00FC0E8F">
            <w:pPr>
              <w:pStyle w:val="BodyText"/>
              <w:spacing w:after="0"/>
              <w:ind w:hanging="23"/>
              <w:rPr>
                <w:rFonts w:eastAsiaTheme="minorHAnsi"/>
                <w:szCs w:val="24"/>
              </w:rPr>
            </w:pPr>
            <w:r w:rsidRPr="00164E17">
              <w:rPr>
                <w:szCs w:val="24"/>
              </w:rPr>
              <w:t>Baltimore, MD 21202</w:t>
            </w:r>
          </w:p>
          <w:p w:rsidR="00BD56EA" w:rsidRDefault="00BD56EA" w:rsidP="00390E78">
            <w:pPr>
              <w:pStyle w:val="BodyText"/>
              <w:spacing w:after="0"/>
              <w:rPr>
                <w:szCs w:val="24"/>
              </w:rPr>
            </w:pPr>
          </w:p>
          <w:p w:rsidR="00BD56EA" w:rsidRDefault="00BD56EA" w:rsidP="00390E78">
            <w:pPr>
              <w:pStyle w:val="BodyText"/>
              <w:spacing w:after="0"/>
              <w:rPr>
                <w:szCs w:val="24"/>
              </w:rPr>
            </w:pPr>
          </w:p>
          <w:p w:rsidR="006B59F3" w:rsidRDefault="00BD56EA" w:rsidP="00FC0E8F">
            <w:pPr>
              <w:pStyle w:val="BodyText"/>
              <w:spacing w:after="0"/>
              <w:ind w:hanging="23"/>
              <w:rPr>
                <w:rFonts w:eastAsiaTheme="minorHAnsi"/>
                <w:szCs w:val="24"/>
              </w:rPr>
            </w:pPr>
            <w:r w:rsidRPr="00164E17">
              <w:rPr>
                <w:szCs w:val="24"/>
              </w:rPr>
              <w:t>Maryland Insurance Administration</w:t>
            </w:r>
          </w:p>
          <w:p w:rsidR="006B59F3" w:rsidRDefault="00BD56EA" w:rsidP="00FC0E8F">
            <w:pPr>
              <w:pStyle w:val="BodyText"/>
              <w:spacing w:after="0"/>
              <w:ind w:hanging="23"/>
              <w:rPr>
                <w:rFonts w:eastAsiaTheme="minorHAnsi"/>
                <w:szCs w:val="24"/>
              </w:rPr>
            </w:pPr>
            <w:r w:rsidRPr="00164E17">
              <w:rPr>
                <w:szCs w:val="24"/>
              </w:rPr>
              <w:t>200 St. Paul Place, Suite 2700</w:t>
            </w:r>
          </w:p>
          <w:p w:rsidR="006B59F3" w:rsidRDefault="00BD56EA" w:rsidP="00FC0E8F">
            <w:pPr>
              <w:pStyle w:val="BodyText"/>
              <w:spacing w:after="0"/>
              <w:ind w:hanging="23"/>
              <w:rPr>
                <w:rFonts w:eastAsiaTheme="minorHAnsi"/>
                <w:szCs w:val="24"/>
              </w:rPr>
            </w:pPr>
            <w:r w:rsidRPr="00164E17">
              <w:rPr>
                <w:szCs w:val="24"/>
              </w:rPr>
              <w:t>Baltimore, MD 21202</w:t>
            </w:r>
          </w:p>
        </w:tc>
      </w:tr>
    </w:tbl>
    <w:p w:rsidR="00BD56EA" w:rsidRDefault="00BD56EA" w:rsidP="00BD56EA">
      <w:pPr>
        <w:pStyle w:val="BodyText"/>
        <w:spacing w:after="0"/>
        <w:ind w:left="720"/>
        <w:rPr>
          <w:szCs w:val="24"/>
        </w:rPr>
      </w:pPr>
    </w:p>
    <w:p w:rsidR="00BD56EA" w:rsidRDefault="00BD56EA" w:rsidP="00BD56EA">
      <w:pPr>
        <w:pStyle w:val="BodyText"/>
        <w:spacing w:after="0"/>
        <w:ind w:left="720"/>
        <w:rPr>
          <w:szCs w:val="24"/>
        </w:rPr>
      </w:pPr>
    </w:p>
    <w:p w:rsidR="00BD56EA" w:rsidRDefault="00BD56EA" w:rsidP="00BD56EA">
      <w:pPr>
        <w:pStyle w:val="BodyText"/>
        <w:spacing w:after="0"/>
        <w:ind w:left="720"/>
        <w:rPr>
          <w:szCs w:val="24"/>
        </w:rPr>
      </w:pPr>
    </w:p>
    <w:p w:rsidR="00BD56EA" w:rsidRDefault="00D82358" w:rsidP="00BD56EA">
      <w:pPr>
        <w:pStyle w:val="BodyText"/>
        <w:spacing w:after="0"/>
        <w:ind w:left="5040"/>
        <w:rPr>
          <w:szCs w:val="24"/>
        </w:rPr>
      </w:pPr>
      <w:r>
        <w:rPr>
          <w:noProof/>
          <w:szCs w:val="24"/>
        </w:rPr>
        <w:drawing>
          <wp:inline distT="0" distB="0" distL="0" distR="0">
            <wp:extent cx="1704975" cy="4064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442" cy="417562"/>
                    </a:xfrm>
                    <a:prstGeom prst="rect">
                      <a:avLst/>
                    </a:prstGeom>
                    <a:noFill/>
                    <a:ln>
                      <a:noFill/>
                    </a:ln>
                  </pic:spPr>
                </pic:pic>
              </a:graphicData>
            </a:graphic>
          </wp:inline>
        </w:drawing>
      </w:r>
    </w:p>
    <w:p w:rsidR="00BD56EA" w:rsidRDefault="00BD56EA" w:rsidP="00BD56EA">
      <w:pPr>
        <w:pStyle w:val="BodyText"/>
        <w:spacing w:after="0"/>
        <w:ind w:left="5040"/>
        <w:rPr>
          <w:szCs w:val="24"/>
        </w:rPr>
      </w:pPr>
      <w:r>
        <w:rPr>
          <w:szCs w:val="24"/>
        </w:rPr>
        <w:t>_________________________</w:t>
      </w:r>
    </w:p>
    <w:p w:rsidR="006B59F3" w:rsidRDefault="00BD56EA" w:rsidP="007A6FCC">
      <w:pPr>
        <w:spacing w:line="480" w:lineRule="auto"/>
        <w:ind w:left="5760" w:right="630"/>
        <w:rPr>
          <w:rFonts w:cstheme="minorHAnsi"/>
        </w:rPr>
      </w:pPr>
      <w:r>
        <w:rPr>
          <w:rFonts w:ascii="Times New Roman" w:hAnsi="Times New Roman"/>
        </w:rPr>
        <w:t>Marialuisa Gallozzi</w:t>
      </w:r>
    </w:p>
    <w:p w:rsidR="00D82358" w:rsidRDefault="00D82358" w:rsidP="00FC0E8F">
      <w:pPr>
        <w:spacing w:line="480" w:lineRule="auto"/>
        <w:ind w:firstLine="720"/>
        <w:jc w:val="both"/>
        <w:rPr>
          <w:rFonts w:cstheme="minorHAnsi"/>
        </w:rPr>
      </w:pPr>
    </w:p>
    <w:sectPr w:rsidR="00D82358" w:rsidSect="00181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E5" w:rsidRDefault="004C62E5" w:rsidP="0087373B">
      <w:r>
        <w:separator/>
      </w:r>
    </w:p>
  </w:endnote>
  <w:endnote w:type="continuationSeparator" w:id="0">
    <w:p w:rsidR="004C62E5" w:rsidRDefault="004C62E5" w:rsidP="0087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39137"/>
      <w:docPartObj>
        <w:docPartGallery w:val="Page Numbers (Bottom of Page)"/>
        <w:docPartUnique/>
      </w:docPartObj>
    </w:sdtPr>
    <w:sdtEndPr>
      <w:rPr>
        <w:noProof/>
        <w:color w:val="auto"/>
      </w:rPr>
    </w:sdtEndPr>
    <w:sdtContent>
      <w:p w:rsidR="00EC6FF5" w:rsidRPr="005D1BEE" w:rsidRDefault="00A27B56">
        <w:pPr>
          <w:pStyle w:val="Footer"/>
          <w:jc w:val="center"/>
          <w:rPr>
            <w:color w:val="auto"/>
          </w:rPr>
        </w:pPr>
        <w:r>
          <w:fldChar w:fldCharType="begin"/>
        </w:r>
        <w:r w:rsidR="00EC6FF5">
          <w:instrText xml:space="preserve"> PAGE   \* MERGEFORMAT </w:instrText>
        </w:r>
        <w:r>
          <w:fldChar w:fldCharType="separate"/>
        </w:r>
        <w:r w:rsidR="00A83E1F">
          <w:rPr>
            <w:noProof/>
          </w:rPr>
          <w:t>i</w:t>
        </w:r>
        <w:r>
          <w:rPr>
            <w:noProof/>
          </w:rPr>
          <w:fldChar w:fldCharType="end"/>
        </w:r>
      </w:p>
    </w:sdtContent>
  </w:sdt>
  <w:p w:rsidR="00CF23E9" w:rsidRPr="005D1BEE" w:rsidRDefault="00CF23E9">
    <w:pPr>
      <w:pStyle w:val="Foote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649977"/>
      <w:docPartObj>
        <w:docPartGallery w:val="Page Numbers (Bottom of Page)"/>
        <w:docPartUnique/>
      </w:docPartObj>
    </w:sdtPr>
    <w:sdtEndPr>
      <w:rPr>
        <w:noProof/>
      </w:rPr>
    </w:sdtEndPr>
    <w:sdtContent>
      <w:p w:rsidR="005D1BEE" w:rsidRDefault="005D1BEE">
        <w:pPr>
          <w:pStyle w:val="Footer"/>
          <w:jc w:val="center"/>
        </w:pPr>
        <w:r>
          <w:fldChar w:fldCharType="begin"/>
        </w:r>
        <w:r>
          <w:instrText xml:space="preserve"> PAGE   \* MERGEFORMAT </w:instrText>
        </w:r>
        <w:r>
          <w:fldChar w:fldCharType="separate"/>
        </w:r>
        <w:r>
          <w:rPr>
            <w:noProof/>
          </w:rPr>
          <w:t xml:space="preserve"> </w:t>
        </w:r>
        <w:r>
          <w:rPr>
            <w:noProof/>
          </w:rPr>
          <w:fldChar w:fldCharType="end"/>
        </w:r>
      </w:p>
    </w:sdtContent>
  </w:sdt>
  <w:p w:rsidR="00CF23E9" w:rsidRPr="00915969" w:rsidRDefault="00CF23E9" w:rsidP="0091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E5" w:rsidRDefault="004C62E5" w:rsidP="0087373B">
      <w:r>
        <w:separator/>
      </w:r>
    </w:p>
  </w:footnote>
  <w:footnote w:type="continuationSeparator" w:id="0">
    <w:p w:rsidR="004C62E5" w:rsidRDefault="004C62E5" w:rsidP="0087373B">
      <w:r>
        <w:continuationSeparator/>
      </w:r>
    </w:p>
  </w:footnote>
  <w:footnote w:id="1">
    <w:p w:rsidR="00CF23E9" w:rsidRDefault="00CF23E9" w:rsidP="00843A59">
      <w:pPr>
        <w:pStyle w:val="FootnoteText"/>
        <w:jc w:val="both"/>
      </w:pPr>
      <w:r>
        <w:rPr>
          <w:rStyle w:val="FootnoteReference"/>
        </w:rPr>
        <w:footnoteRef/>
      </w:r>
      <w:r>
        <w:t xml:space="preserve"> Lawrence H. </w:t>
      </w:r>
      <w:proofErr w:type="spellStart"/>
      <w:r>
        <w:t>Mirel</w:t>
      </w:r>
      <w:proofErr w:type="spellEnd"/>
      <w:r>
        <w:t xml:space="preserve">, Report of the District of Columbia Department of Insurance, Securities, and Banking In the Matter of: Inquiry into the Charitable Obligations of </w:t>
      </w:r>
      <w:proofErr w:type="spellStart"/>
      <w:r>
        <w:t>GHMSI</w:t>
      </w:r>
      <w:proofErr w:type="spellEnd"/>
      <w:r>
        <w:t xml:space="preserve">/CareFirst in the District of Columbia (May 15, 2005). One purpose of the Act was to make clear that </w:t>
      </w:r>
      <w:proofErr w:type="spellStart"/>
      <w:r>
        <w:t>GHMSI's</w:t>
      </w:r>
      <w:proofErr w:type="spellEnd"/>
      <w:r>
        <w:t xml:space="preserve"> obligation to engage in community benefit spending extends beyond its basic operations. The then-Attorney General of the District, Robert J. </w:t>
      </w:r>
      <w:proofErr w:type="spellStart"/>
      <w:r>
        <w:t>Spagnoletti</w:t>
      </w:r>
      <w:proofErr w:type="spellEnd"/>
      <w:r>
        <w:t xml:space="preserve"> reported to the City Administrator that </w:t>
      </w:r>
      <w:proofErr w:type="spellStart"/>
      <w:r>
        <w:t>GHMSI</w:t>
      </w:r>
      <w:proofErr w:type="spellEnd"/>
      <w:r>
        <w:t xml:space="preserve"> has a “legal obligation to </w:t>
      </w:r>
      <w:r w:rsidRPr="0095230F">
        <w:rPr>
          <w:i/>
        </w:rPr>
        <w:t>devote its entire operation</w:t>
      </w:r>
      <w:r>
        <w:t xml:space="preserve"> to serving, directly or indirectly, the charitable, public health purposes” created by its federal charter. Letter from Robert J. </w:t>
      </w:r>
      <w:proofErr w:type="spellStart"/>
      <w:r>
        <w:t>Spagnoletti</w:t>
      </w:r>
      <w:proofErr w:type="spellEnd"/>
      <w:r>
        <w:t xml:space="preserve">, Attorney General, to Robert </w:t>
      </w:r>
      <w:proofErr w:type="spellStart"/>
      <w:r>
        <w:t>Bobb</w:t>
      </w:r>
      <w:proofErr w:type="spellEnd"/>
      <w:r>
        <w:t>, City Administrator, at 1 (Aug. 4, 2005) (emphasis added).</w:t>
      </w:r>
    </w:p>
  </w:footnote>
  <w:footnote w:id="2">
    <w:p w:rsidR="00C174AA" w:rsidRPr="00C174AA" w:rsidRDefault="00C174AA">
      <w:pPr>
        <w:pStyle w:val="FootnoteText"/>
      </w:pPr>
      <w:r>
        <w:rPr>
          <w:rStyle w:val="FootnoteReference"/>
        </w:rPr>
        <w:footnoteRef/>
      </w:r>
      <w:r>
        <w:t xml:space="preserve"> The latest data, as of this filing, show that the </w:t>
      </w:r>
      <w:proofErr w:type="spellStart"/>
      <w:r>
        <w:t>COVID</w:t>
      </w:r>
      <w:proofErr w:type="spellEnd"/>
      <w:r>
        <w:t xml:space="preserve">-19 pandemic has claimed the lives of 323 District residents. </w:t>
      </w:r>
      <w:r>
        <w:rPr>
          <w:i/>
        </w:rPr>
        <w:t>Coronavirus Data</w:t>
      </w:r>
      <w:r>
        <w:t xml:space="preserve">, </w:t>
      </w:r>
      <w:r>
        <w:rPr>
          <w:smallCaps/>
        </w:rPr>
        <w:t>Gov’t of D.C.</w:t>
      </w:r>
      <w:r>
        <w:t>, https://coronavirus.dc.gov</w:t>
      </w:r>
      <w:r w:rsidR="00A4016D">
        <w:t xml:space="preserve"> (last updated May 9, 2020)</w:t>
      </w:r>
      <w:r>
        <w:t>.</w:t>
      </w:r>
    </w:p>
  </w:footnote>
  <w:footnote w:id="3">
    <w:p w:rsidR="0088675C" w:rsidRDefault="0088675C" w:rsidP="0088675C">
      <w:pPr>
        <w:pStyle w:val="FootnoteText"/>
      </w:pPr>
      <w:r>
        <w:rPr>
          <w:rStyle w:val="FootnoteReference"/>
        </w:rPr>
        <w:footnoteRef/>
      </w:r>
      <w:r>
        <w:t xml:space="preserve"> </w:t>
      </w:r>
      <w:r>
        <w:rPr>
          <w:rFonts w:cstheme="minorHAnsi"/>
          <w:color w:val="2F2F2F"/>
        </w:rPr>
        <w:t>This</w:t>
      </w:r>
      <w:r w:rsidRPr="00755626">
        <w:rPr>
          <w:rFonts w:cstheme="minorHAnsi"/>
          <w:color w:val="2F2F2F"/>
        </w:rPr>
        <w:t xml:space="preserve"> process</w:t>
      </w:r>
      <w:r>
        <w:rPr>
          <w:rFonts w:cstheme="minorHAnsi"/>
          <w:color w:val="2F2F2F"/>
        </w:rPr>
        <w:t xml:space="preserve"> raises two important questions</w:t>
      </w:r>
      <w:r w:rsidRPr="00755626">
        <w:rPr>
          <w:rFonts w:cstheme="minorHAnsi"/>
          <w:color w:val="2F2F2F"/>
        </w:rPr>
        <w:t xml:space="preserve"> that </w:t>
      </w:r>
      <w:r>
        <w:rPr>
          <w:rFonts w:cstheme="minorHAnsi"/>
          <w:color w:val="2F2F2F"/>
        </w:rPr>
        <w:t>Appleseed</w:t>
      </w:r>
      <w:r w:rsidRPr="00755626">
        <w:rPr>
          <w:rFonts w:cstheme="minorHAnsi"/>
          <w:color w:val="2F2F2F"/>
        </w:rPr>
        <w:t xml:space="preserve"> urge</w:t>
      </w:r>
      <w:r>
        <w:rPr>
          <w:rFonts w:cstheme="minorHAnsi"/>
          <w:color w:val="2F2F2F"/>
        </w:rPr>
        <w:t>s</w:t>
      </w:r>
      <w:r w:rsidRPr="00755626">
        <w:rPr>
          <w:rFonts w:cstheme="minorHAnsi"/>
          <w:color w:val="2F2F2F"/>
        </w:rPr>
        <w:t xml:space="preserve"> </w:t>
      </w:r>
      <w:proofErr w:type="spellStart"/>
      <w:r w:rsidRPr="00755626">
        <w:rPr>
          <w:rFonts w:cstheme="minorHAnsi"/>
          <w:color w:val="2F2F2F"/>
        </w:rPr>
        <w:t>DISB</w:t>
      </w:r>
      <w:proofErr w:type="spellEnd"/>
      <w:r w:rsidRPr="00755626">
        <w:rPr>
          <w:rFonts w:cstheme="minorHAnsi"/>
          <w:color w:val="2F2F2F"/>
        </w:rPr>
        <w:t xml:space="preserve"> and CareFirst to consider.</w:t>
      </w:r>
      <w:r>
        <w:rPr>
          <w:rFonts w:cstheme="minorHAnsi"/>
          <w:color w:val="2F2F2F"/>
        </w:rPr>
        <w:t xml:space="preserve"> </w:t>
      </w:r>
      <w:r w:rsidRPr="00755626">
        <w:rPr>
          <w:rFonts w:cstheme="minorHAnsi"/>
          <w:color w:val="2F2F2F"/>
        </w:rPr>
        <w:t xml:space="preserve">First, </w:t>
      </w:r>
      <w:r w:rsidRPr="00755626">
        <w:rPr>
          <w:rFonts w:eastAsia="Times New Roman" w:cstheme="minorHAnsi"/>
        </w:rPr>
        <w:t xml:space="preserve">CareFirst has not stated </w:t>
      </w:r>
      <w:r w:rsidRPr="00755626">
        <w:rPr>
          <w:rFonts w:eastAsia="Times New Roman" w:cstheme="minorHAnsi"/>
          <w:i/>
        </w:rPr>
        <w:t>when</w:t>
      </w:r>
      <w:r w:rsidRPr="00755626">
        <w:rPr>
          <w:rFonts w:eastAsia="Times New Roman" w:cstheme="minorHAnsi"/>
        </w:rPr>
        <w:t xml:space="preserve"> it will disburse the funds to those organizations – as CareFirst points out, the funds are desperately needed now.</w:t>
      </w:r>
      <w:r>
        <w:rPr>
          <w:rFonts w:eastAsia="Times New Roman" w:cstheme="minorHAnsi"/>
        </w:rPr>
        <w:t xml:space="preserve"> </w:t>
      </w:r>
      <w:r w:rsidRPr="00755626">
        <w:rPr>
          <w:rFonts w:eastAsia="Times New Roman" w:cstheme="minorHAnsi"/>
        </w:rPr>
        <w:t xml:space="preserve">CareFirst has proposed a “request for proposal” (RFP) process that could be excessively burdensome and </w:t>
      </w:r>
      <w:r>
        <w:rPr>
          <w:rFonts w:eastAsia="Times New Roman" w:cstheme="minorHAnsi"/>
        </w:rPr>
        <w:t>too prolonged</w:t>
      </w:r>
      <w:r w:rsidRPr="00755626">
        <w:rPr>
          <w:rFonts w:eastAsia="Times New Roman" w:cstheme="minorHAnsi"/>
        </w:rPr>
        <w:t xml:space="preserve"> to meet the organizations’ immediate need for resources. Although the RFP process could help ensure that the funds are directed to the greatest need, </w:t>
      </w:r>
      <w:r>
        <w:rPr>
          <w:rFonts w:eastAsia="Times New Roman" w:cstheme="minorHAnsi"/>
        </w:rPr>
        <w:t>Appleseed</w:t>
      </w:r>
      <w:r w:rsidRPr="00755626">
        <w:rPr>
          <w:rFonts w:eastAsia="Times New Roman" w:cstheme="minorHAnsi"/>
        </w:rPr>
        <w:t xml:space="preserve"> urge</w:t>
      </w:r>
      <w:r>
        <w:rPr>
          <w:rFonts w:eastAsia="Times New Roman" w:cstheme="minorHAnsi"/>
        </w:rPr>
        <w:t>s</w:t>
      </w:r>
      <w:r w:rsidRPr="00755626">
        <w:rPr>
          <w:rFonts w:eastAsia="Times New Roman" w:cstheme="minorHAnsi"/>
        </w:rPr>
        <w:t xml:space="preserve"> CareFirst to expedite it. Second, and more importantly, as demonstrated below, $2 million is a small fraction of </w:t>
      </w:r>
      <w:r>
        <w:rPr>
          <w:rFonts w:eastAsia="Times New Roman" w:cstheme="minorHAnsi"/>
        </w:rPr>
        <w:t>the sum that</w:t>
      </w:r>
      <w:r w:rsidRPr="00755626">
        <w:rPr>
          <w:rFonts w:eastAsia="Times New Roman" w:cstheme="minorHAnsi"/>
        </w:rPr>
        <w:t xml:space="preserve"> </w:t>
      </w:r>
      <w:proofErr w:type="spellStart"/>
      <w:r w:rsidRPr="00755626">
        <w:rPr>
          <w:rFonts w:eastAsia="Times New Roman" w:cstheme="minorHAnsi"/>
        </w:rPr>
        <w:t>MIEAA</w:t>
      </w:r>
      <w:proofErr w:type="spellEnd"/>
      <w:r w:rsidRPr="00755626">
        <w:rPr>
          <w:rFonts w:eastAsia="Times New Roman" w:cstheme="minorHAnsi"/>
        </w:rPr>
        <w:t xml:space="preserve"> obligates CareFirst to commit to community health needs. Appropriate calculations indicate that CareFirst is obligated to </w:t>
      </w:r>
      <w:r>
        <w:rPr>
          <w:rFonts w:ascii="Times New Roman" w:hAnsi="Times New Roman" w:cs="Times New Roman"/>
        </w:rPr>
        <w:t xml:space="preserve">additionally </w:t>
      </w:r>
      <w:r w:rsidRPr="00755626">
        <w:rPr>
          <w:rFonts w:eastAsia="Times New Roman" w:cstheme="minorHAnsi"/>
        </w:rPr>
        <w:t xml:space="preserve">devote </w:t>
      </w:r>
      <w:r>
        <w:rPr>
          <w:rFonts w:ascii="Times New Roman" w:hAnsi="Times New Roman" w:cs="Times New Roman"/>
        </w:rPr>
        <w:t xml:space="preserve">more than </w:t>
      </w:r>
      <w:r w:rsidRPr="00755626">
        <w:rPr>
          <w:rFonts w:ascii="Times New Roman" w:hAnsi="Times New Roman" w:cs="Times New Roman"/>
        </w:rPr>
        <w:t>$</w:t>
      </w:r>
      <w:r>
        <w:rPr>
          <w:rFonts w:ascii="Times New Roman" w:hAnsi="Times New Roman" w:cs="Times New Roman"/>
        </w:rPr>
        <w:t>300</w:t>
      </w:r>
      <w:r w:rsidRPr="00755626">
        <w:rPr>
          <w:rFonts w:ascii="Times New Roman" w:hAnsi="Times New Roman" w:cs="Times New Roman"/>
        </w:rPr>
        <w:t xml:space="preserve"> million of excess </w:t>
      </w:r>
      <w:proofErr w:type="spellStart"/>
      <w:r w:rsidRPr="00755626">
        <w:rPr>
          <w:rFonts w:ascii="Times New Roman" w:hAnsi="Times New Roman" w:cs="Times New Roman"/>
        </w:rPr>
        <w:t>GHMSI</w:t>
      </w:r>
      <w:proofErr w:type="spellEnd"/>
      <w:r w:rsidRPr="00755626">
        <w:rPr>
          <w:rFonts w:ascii="Times New Roman" w:hAnsi="Times New Roman" w:cs="Times New Roman"/>
        </w:rPr>
        <w:t xml:space="preserve"> surplus to address the pandemic and other health needs in the District</w:t>
      </w:r>
      <w:r>
        <w:rPr>
          <w:rFonts w:ascii="Times New Roman" w:hAnsi="Times New Roman" w:cs="Times New Roman"/>
        </w:rPr>
        <w:t>, including</w:t>
      </w:r>
      <w:r w:rsidRPr="002B3C14">
        <w:rPr>
          <w:rFonts w:ascii="Times New Roman" w:hAnsi="Times New Roman" w:cs="Times New Roman"/>
        </w:rPr>
        <w:t xml:space="preserve"> the $51 million </w:t>
      </w:r>
      <w:r>
        <w:rPr>
          <w:rFonts w:ascii="Times New Roman" w:hAnsi="Times New Roman" w:cs="Times New Roman"/>
        </w:rPr>
        <w:t xml:space="preserve">already </w:t>
      </w:r>
      <w:r w:rsidRPr="002B3C14">
        <w:rPr>
          <w:rFonts w:ascii="Times New Roman" w:hAnsi="Times New Roman" w:cs="Times New Roman"/>
        </w:rPr>
        <w:t>affirme</w:t>
      </w:r>
      <w:r>
        <w:rPr>
          <w:rFonts w:ascii="Times New Roman" w:hAnsi="Times New Roman" w:cs="Times New Roman"/>
        </w:rPr>
        <w:t>d by the D.C. Court of Appeals</w:t>
      </w:r>
      <w:r w:rsidRPr="00755626">
        <w:rPr>
          <w:rFonts w:ascii="Times New Roman" w:hAnsi="Times New Roman" w:cs="Times New Roman"/>
        </w:rPr>
        <w:t>.</w:t>
      </w:r>
    </w:p>
  </w:footnote>
  <w:footnote w:id="4">
    <w:p w:rsidR="000A4913" w:rsidRPr="008354E4" w:rsidRDefault="0088675C" w:rsidP="00544A08">
      <w:pPr>
        <w:pStyle w:val="NormalWeb"/>
        <w:rPr>
          <w:sz w:val="22"/>
          <w:szCs w:val="22"/>
        </w:rPr>
      </w:pPr>
      <w:r w:rsidRPr="000A4913">
        <w:rPr>
          <w:rStyle w:val="FootnoteReference"/>
        </w:rPr>
        <w:footnoteRef/>
      </w:r>
      <w:r w:rsidRPr="000A4913">
        <w:t xml:space="preserve"> </w:t>
      </w:r>
      <w:r w:rsidR="00544A08">
        <w:rPr>
          <w:i/>
        </w:rPr>
        <w:t xml:space="preserve">See </w:t>
      </w:r>
      <w:r w:rsidR="000A4913" w:rsidRPr="000A4913">
        <w:rPr>
          <w:smallCaps/>
        </w:rPr>
        <w:t xml:space="preserve">Hayley Rogers, Charlie Mills &amp; Matthew J. Kramer, </w:t>
      </w:r>
      <w:proofErr w:type="spellStart"/>
      <w:r w:rsidR="000A4913" w:rsidRPr="000A4913">
        <w:rPr>
          <w:smallCaps/>
        </w:rPr>
        <w:t>Milliman</w:t>
      </w:r>
      <w:proofErr w:type="spellEnd"/>
      <w:r w:rsidR="000A4913" w:rsidRPr="000A4913">
        <w:rPr>
          <w:smallCaps/>
        </w:rPr>
        <w:t xml:space="preserve">, Inc., Estimating the impact of </w:t>
      </w:r>
      <w:proofErr w:type="spellStart"/>
      <w:r w:rsidR="000A4913" w:rsidRPr="000A4913">
        <w:rPr>
          <w:smallCaps/>
        </w:rPr>
        <w:t>COVID</w:t>
      </w:r>
      <w:proofErr w:type="spellEnd"/>
      <w:r w:rsidR="000A4913" w:rsidRPr="000A4913">
        <w:rPr>
          <w:smallCaps/>
        </w:rPr>
        <w:t>-19 on healthcare costs in 2020</w:t>
      </w:r>
      <w:r w:rsidR="000A4913" w:rsidRPr="000A4913">
        <w:t xml:space="preserve"> (Apr. 2020), </w:t>
      </w:r>
      <w:r w:rsidR="000A4913" w:rsidRPr="00CC1845">
        <w:t>https://milliman-cdn.azureedge.net/-/media/milliman/pdfs/articles/estimating-the-financial-impact-covid19.ashx</w:t>
      </w:r>
      <w:r w:rsidR="00544A08">
        <w:t xml:space="preserve">; </w:t>
      </w:r>
      <w:r w:rsidR="00544A08">
        <w:rPr>
          <w:i/>
        </w:rPr>
        <w:t>see also</w:t>
      </w:r>
      <w:r w:rsidR="000A4913" w:rsidRPr="000A4913">
        <w:t xml:space="preserve"> </w:t>
      </w:r>
      <w:proofErr w:type="spellStart"/>
      <w:r w:rsidR="000A4913" w:rsidRPr="000A4913">
        <w:t>Amol</w:t>
      </w:r>
      <w:proofErr w:type="spellEnd"/>
      <w:r w:rsidR="000A4913" w:rsidRPr="000A4913">
        <w:t xml:space="preserve"> S. </w:t>
      </w:r>
      <w:proofErr w:type="spellStart"/>
      <w:r w:rsidR="000A4913" w:rsidRPr="000A4913">
        <w:t>Navathe</w:t>
      </w:r>
      <w:proofErr w:type="spellEnd"/>
      <w:r w:rsidR="000A4913" w:rsidRPr="000A4913">
        <w:t xml:space="preserve"> and Ezekiel J. Emanuel, </w:t>
      </w:r>
      <w:r w:rsidR="000A4913" w:rsidRPr="000A4913">
        <w:rPr>
          <w:i/>
        </w:rPr>
        <w:t>How Health Insurers Can Be Heroes. Really.</w:t>
      </w:r>
      <w:r w:rsidR="000A4913" w:rsidRPr="000A4913">
        <w:t xml:space="preserve">, </w:t>
      </w:r>
      <w:r w:rsidR="000A4913" w:rsidRPr="000A4913">
        <w:rPr>
          <w:smallCaps/>
        </w:rPr>
        <w:t>N.Y. Times</w:t>
      </w:r>
      <w:r w:rsidR="000A4913" w:rsidRPr="000A4913">
        <w:t xml:space="preserve"> (May 6, 2020), https://www.nytimes.com/2020/05/06/opinion/coronavirus-insurance.html. </w:t>
      </w:r>
    </w:p>
    <w:p w:rsidR="000A4913" w:rsidRPr="0088675C" w:rsidRDefault="000A4913" w:rsidP="000A4913">
      <w:pPr>
        <w:pStyle w:val="NormalWeb"/>
      </w:pPr>
    </w:p>
    <w:p w:rsidR="0088675C" w:rsidRPr="0088675C" w:rsidRDefault="0088675C" w:rsidP="0033773C">
      <w:pPr>
        <w:pStyle w:val="NormalWeb"/>
      </w:pPr>
    </w:p>
  </w:footnote>
  <w:footnote w:id="5">
    <w:p w:rsidR="00CF23E9" w:rsidRDefault="00CF23E9">
      <w:pPr>
        <w:pStyle w:val="FootnoteText"/>
      </w:pPr>
      <w:r>
        <w:rPr>
          <w:rStyle w:val="FootnoteReference"/>
        </w:rPr>
        <w:footnoteRef/>
      </w:r>
      <w:r>
        <w:t xml:space="preserve"> </w:t>
      </w:r>
      <w:r w:rsidR="00EC618A">
        <w:t xml:space="preserve">The annual CareFirst reports from 2015 through 2018 of </w:t>
      </w:r>
      <w:proofErr w:type="spellStart"/>
      <w:r w:rsidR="00EC618A">
        <w:t>GHMSI’s</w:t>
      </w:r>
      <w:proofErr w:type="spellEnd"/>
      <w:r w:rsidR="00EC618A">
        <w:t xml:space="preserve"> surplus are available at: </w:t>
      </w:r>
      <w:r w:rsidR="00EC618A" w:rsidRPr="000C400F">
        <w:t>https://disb.dc.gov/node/315992</w:t>
      </w:r>
      <w:r w:rsidR="00EC618A">
        <w:t>.</w:t>
      </w:r>
    </w:p>
  </w:footnote>
  <w:footnote w:id="6">
    <w:p w:rsidR="00DC0004" w:rsidRDefault="00DC0004" w:rsidP="00DC0004">
      <w:pPr>
        <w:pStyle w:val="FootnoteText"/>
      </w:pPr>
      <w:r>
        <w:rPr>
          <w:rStyle w:val="FootnoteReference"/>
        </w:rPr>
        <w:footnoteRef/>
      </w:r>
      <w:r>
        <w:t xml:space="preserve"> Email from </w:t>
      </w:r>
      <w:proofErr w:type="spellStart"/>
      <w:r>
        <w:t>Karima</w:t>
      </w:r>
      <w:proofErr w:type="spellEnd"/>
      <w:r>
        <w:t xml:space="preserve"> Woods, </w:t>
      </w:r>
      <w:proofErr w:type="spellStart"/>
      <w:r>
        <w:t>Comm</w:t>
      </w:r>
      <w:r w:rsidR="005F6C95">
        <w:t>’</w:t>
      </w:r>
      <w:r>
        <w:t>r</w:t>
      </w:r>
      <w:proofErr w:type="spellEnd"/>
      <w:r>
        <w:t>., Dep’t of Ins., Sec. and Banking, to Walter Smith, Exec. Dir., D.C. Appleseed Ctr. for Law &amp; Justice (Apr. 6, 2020).</w:t>
      </w:r>
    </w:p>
  </w:footnote>
  <w:footnote w:id="7">
    <w:p w:rsidR="00CF23E9" w:rsidRDefault="00CF23E9" w:rsidP="00FE3CE0">
      <w:pPr>
        <w:pStyle w:val="FootnoteText"/>
        <w:spacing w:line="240" w:lineRule="auto"/>
        <w:jc w:val="both"/>
      </w:pPr>
      <w:r>
        <w:rPr>
          <w:rStyle w:val="FootnoteReference"/>
        </w:rPr>
        <w:footnoteRef/>
      </w:r>
      <w:r>
        <w:t xml:space="preserve"> </w:t>
      </w:r>
      <w:proofErr w:type="spellStart"/>
      <w:r>
        <w:t>OAG</w:t>
      </w:r>
      <w:proofErr w:type="spellEnd"/>
      <w:r>
        <w:t xml:space="preserve"> </w:t>
      </w:r>
      <w:r w:rsidR="006602FB">
        <w:t xml:space="preserve">likewise defended the error </w:t>
      </w:r>
      <w:r>
        <w:t xml:space="preserve">on behalf of </w:t>
      </w:r>
      <w:proofErr w:type="spellStart"/>
      <w:r>
        <w:t>DISB</w:t>
      </w:r>
      <w:proofErr w:type="spellEnd"/>
      <w:r>
        <w:t xml:space="preserve"> </w:t>
      </w:r>
      <w:r w:rsidR="006602FB">
        <w:t xml:space="preserve">by arguing </w:t>
      </w:r>
      <w:r>
        <w:t>to the Court that the negative 3% deviation</w:t>
      </w:r>
      <w:r w:rsidR="00DC6D28">
        <w:t xml:space="preserve"> relied on by </w:t>
      </w:r>
      <w:proofErr w:type="spellStart"/>
      <w:r w:rsidR="00DC6D28">
        <w:t>Milliman</w:t>
      </w:r>
      <w:proofErr w:type="spellEnd"/>
      <w:r w:rsidR="00DC6D28">
        <w:t xml:space="preserve"> as the most likely downside risk to </w:t>
      </w:r>
      <w:proofErr w:type="spellStart"/>
      <w:r w:rsidR="00DC6D28">
        <w:t>GHMSI’s</w:t>
      </w:r>
      <w:proofErr w:type="spellEnd"/>
      <w:r w:rsidR="00DC6D28">
        <w:t xml:space="preserve"> </w:t>
      </w:r>
      <w:proofErr w:type="spellStart"/>
      <w:r w:rsidR="00DC6D28">
        <w:t>nonFEP</w:t>
      </w:r>
      <w:proofErr w:type="spellEnd"/>
      <w:r w:rsidR="00DC6D28">
        <w:t xml:space="preserve"> premium revenue</w:t>
      </w:r>
      <w:r>
        <w:t xml:space="preserve"> was applied as a percentage of the projected 7%, meaning the most likely expected return was only .21% less than 7% (3% times 7% is .21%), leaving an expected return of 6.79% (7% minus .21%). But</w:t>
      </w:r>
      <w:r w:rsidR="00C90414">
        <w:t xml:space="preserve"> as further discussed below,</w:t>
      </w:r>
      <w:r>
        <w:t xml:space="preserve"> that is flatly contradicted by the language of the probability distribution itself, which expressly states that the percentages in the proba</w:t>
      </w:r>
      <w:r w:rsidR="00FF3741">
        <w:t>bility distribution represent three</w:t>
      </w:r>
      <w:r>
        <w:t xml:space="preserve">-year </w:t>
      </w:r>
      <w:r w:rsidR="00FF3741">
        <w:t>“</w:t>
      </w:r>
      <w:r w:rsidR="00CC4BC4">
        <w:t xml:space="preserve">Surplus Change </w:t>
      </w:r>
      <w:r w:rsidRPr="005F1567">
        <w:rPr>
          <w:i/>
        </w:rPr>
        <w:t xml:space="preserve">as </w:t>
      </w:r>
      <w:r w:rsidR="00CC4BC4">
        <w:rPr>
          <w:i/>
        </w:rPr>
        <w:t>%</w:t>
      </w:r>
      <w:r w:rsidRPr="005F1567">
        <w:rPr>
          <w:i/>
        </w:rPr>
        <w:t xml:space="preserve"> of </w:t>
      </w:r>
      <w:proofErr w:type="spellStart"/>
      <w:r w:rsidRPr="005F1567">
        <w:rPr>
          <w:i/>
        </w:rPr>
        <w:t>nonFEP</w:t>
      </w:r>
      <w:proofErr w:type="spellEnd"/>
      <w:r w:rsidRPr="005F1567">
        <w:rPr>
          <w:i/>
        </w:rPr>
        <w:t xml:space="preserve"> </w:t>
      </w:r>
      <w:r w:rsidR="00CC4BC4">
        <w:rPr>
          <w:i/>
        </w:rPr>
        <w:t>I</w:t>
      </w:r>
      <w:r w:rsidR="00CC4BC4" w:rsidRPr="005F1567">
        <w:rPr>
          <w:i/>
        </w:rPr>
        <w:t xml:space="preserve">nsured </w:t>
      </w:r>
      <w:r w:rsidR="00CC4BC4">
        <w:rPr>
          <w:i/>
        </w:rPr>
        <w:t>P</w:t>
      </w:r>
      <w:r w:rsidR="00CC4BC4" w:rsidRPr="005F1567">
        <w:rPr>
          <w:i/>
        </w:rPr>
        <w:t>remium</w:t>
      </w:r>
      <w:r>
        <w:t>.</w:t>
      </w:r>
      <w:r w:rsidR="00FF3741">
        <w:t xml:space="preserve">” </w:t>
      </w:r>
      <w:proofErr w:type="spellStart"/>
      <w:r w:rsidR="00CC4BC4">
        <w:rPr>
          <w:rFonts w:cstheme="minorHAnsi"/>
        </w:rPr>
        <w:t>Milliman</w:t>
      </w:r>
      <w:proofErr w:type="spellEnd"/>
      <w:r w:rsidR="00CC4BC4">
        <w:rPr>
          <w:rFonts w:cstheme="minorHAnsi"/>
        </w:rPr>
        <w:t xml:space="preserve"> Rebuttal</w:t>
      </w:r>
      <w:r w:rsidR="0039234F">
        <w:rPr>
          <w:rFonts w:cstheme="minorHAnsi"/>
        </w:rPr>
        <w:t xml:space="preserve"> at 16</w:t>
      </w:r>
      <w:r w:rsidR="00B14007">
        <w:rPr>
          <w:rFonts w:cstheme="minorHAnsi"/>
        </w:rPr>
        <w:t xml:space="preserve"> (</w:t>
      </w:r>
      <w:proofErr w:type="spellStart"/>
      <w:r w:rsidR="00B14007">
        <w:t>A1588</w:t>
      </w:r>
      <w:proofErr w:type="spellEnd"/>
      <w:r w:rsidR="00B14007">
        <w:t xml:space="preserve">) </w:t>
      </w:r>
      <w:r w:rsidR="00FF3741">
        <w:t>(emphasis added</w:t>
      </w:r>
      <w:r w:rsidR="00C90414">
        <w:t>)</w:t>
      </w:r>
      <w:r w:rsidR="00DC6D28">
        <w:t>.</w:t>
      </w:r>
      <w:r>
        <w:t xml:space="preserve"> All of </w:t>
      </w:r>
      <w:proofErr w:type="spellStart"/>
      <w:r>
        <w:t>GHMSI’s</w:t>
      </w:r>
      <w:proofErr w:type="spellEnd"/>
      <w:r>
        <w:t xml:space="preserve"> probability distributions – including the equity portfolio factor </w:t>
      </w:r>
      <w:r w:rsidR="00FF3741">
        <w:t>–</w:t>
      </w:r>
      <w:r>
        <w:t xml:space="preserve"> expressed surplus impacts in the same</w:t>
      </w:r>
      <w:r w:rsidR="007D4667">
        <w:t xml:space="preserve"> </w:t>
      </w:r>
      <w:r>
        <w:t xml:space="preserve">way, i.e., as a percentage of </w:t>
      </w:r>
      <w:proofErr w:type="spellStart"/>
      <w:r>
        <w:t>nonFEP</w:t>
      </w:r>
      <w:proofErr w:type="spellEnd"/>
      <w:r>
        <w:t xml:space="preserve"> revenue.</w:t>
      </w:r>
      <w:r w:rsidR="008B5978">
        <w:t xml:space="preserve"> </w:t>
      </w:r>
      <w:r w:rsidR="008B5978">
        <w:rPr>
          <w:i/>
        </w:rPr>
        <w:t>Id.</w:t>
      </w:r>
      <w:r>
        <w:t xml:space="preserve"> As </w:t>
      </w:r>
      <w:r w:rsidR="00DC6D28">
        <w:t>a matter of math,</w:t>
      </w:r>
      <w:r>
        <w:t xml:space="preserve"> 3% of </w:t>
      </w:r>
      <w:proofErr w:type="spellStart"/>
      <w:r>
        <w:t>nonFEP</w:t>
      </w:r>
      <w:proofErr w:type="spellEnd"/>
      <w:r>
        <w:t xml:space="preserve"> revenue is $91.4 million, not the much smaller $4.3 million that results from the </w:t>
      </w:r>
      <w:proofErr w:type="spellStart"/>
      <w:r>
        <w:t>OAG</w:t>
      </w:r>
      <w:proofErr w:type="spellEnd"/>
      <w:r>
        <w:t xml:space="preserve"> reading. </w:t>
      </w:r>
    </w:p>
  </w:footnote>
  <w:footnote w:id="8">
    <w:p w:rsidR="007679BF" w:rsidRDefault="007679BF">
      <w:pPr>
        <w:pStyle w:val="FootnoteText"/>
      </w:pPr>
      <w:r w:rsidRPr="007679BF">
        <w:rPr>
          <w:rStyle w:val="FootnoteReference"/>
        </w:rPr>
        <w:footnoteRef/>
      </w:r>
      <w:r w:rsidRPr="007679BF">
        <w:t xml:space="preserve"> </w:t>
      </w:r>
      <w:r w:rsidRPr="007679BF">
        <w:rPr>
          <w:rFonts w:cstheme="minorHAnsi"/>
        </w:rPr>
        <w:t xml:space="preserve">Brief for </w:t>
      </w:r>
      <w:proofErr w:type="spellStart"/>
      <w:r w:rsidRPr="007679BF">
        <w:rPr>
          <w:rFonts w:cstheme="minorHAnsi"/>
        </w:rPr>
        <w:t>Intervenor</w:t>
      </w:r>
      <w:proofErr w:type="spellEnd"/>
      <w:r w:rsidRPr="007679BF">
        <w:rPr>
          <w:rFonts w:cstheme="minorHAnsi"/>
        </w:rPr>
        <w:t xml:space="preserve"> Group Hospitalization and Medical Services, Inc., </w:t>
      </w:r>
      <w:r w:rsidRPr="007679BF">
        <w:rPr>
          <w:rFonts w:cstheme="minorHAnsi"/>
          <w:i/>
        </w:rPr>
        <w:t>D.C. Appleseed Center for Law and Justice, Inc. v. D.C. Department of Insurance, Securities and Banking</w:t>
      </w:r>
      <w:r w:rsidRPr="007679BF">
        <w:rPr>
          <w:rFonts w:cstheme="minorHAnsi"/>
        </w:rPr>
        <w:t xml:space="preserve">, 214 </w:t>
      </w:r>
      <w:proofErr w:type="spellStart"/>
      <w:r w:rsidRPr="007679BF">
        <w:rPr>
          <w:rFonts w:cstheme="minorHAnsi"/>
        </w:rPr>
        <w:t>A.3d</w:t>
      </w:r>
      <w:proofErr w:type="spellEnd"/>
      <w:r w:rsidRPr="007679BF">
        <w:rPr>
          <w:rFonts w:cstheme="minorHAnsi"/>
        </w:rPr>
        <w:t xml:space="preserve"> 978 (D.C. 2019) (No. 18-AA-178), http://www.dcappleseed.com/wp-content/uploads/2018/11/2018-10-31-GHMSI-Intervenor-Brief.pdf.</w:t>
      </w:r>
    </w:p>
  </w:footnote>
  <w:footnote w:id="9">
    <w:p w:rsidR="00CF23E9" w:rsidRDefault="00CF23E9" w:rsidP="00FE3CE0">
      <w:pPr>
        <w:pStyle w:val="FootnoteText"/>
        <w:spacing w:line="240" w:lineRule="auto"/>
        <w:jc w:val="both"/>
      </w:pPr>
      <w:r>
        <w:rPr>
          <w:rStyle w:val="FootnoteReference"/>
        </w:rPr>
        <w:footnoteRef/>
      </w:r>
      <w:r>
        <w:t xml:space="preserve"> </w:t>
      </w:r>
      <w:r>
        <w:rPr>
          <w:rFonts w:ascii="Times New Roman" w:hAnsi="Times New Roman" w:cs="Times New Roman"/>
        </w:rPr>
        <w:t xml:space="preserve">This attribution would have been higher (63.5%) had the excess surplus calculation been limited to </w:t>
      </w:r>
      <w:proofErr w:type="spellStart"/>
      <w:r>
        <w:rPr>
          <w:rFonts w:ascii="Times New Roman" w:hAnsi="Times New Roman" w:cs="Times New Roman"/>
        </w:rPr>
        <w:t>GHMSI’s</w:t>
      </w:r>
      <w:proofErr w:type="spellEnd"/>
      <w:r>
        <w:rPr>
          <w:rFonts w:ascii="Times New Roman" w:hAnsi="Times New Roman" w:cs="Times New Roman"/>
        </w:rPr>
        <w:t xml:space="preserve"> profit.</w:t>
      </w:r>
      <w:r w:rsidR="007D4667">
        <w:rPr>
          <w:rFonts w:ascii="Times New Roman" w:hAnsi="Times New Roman" w:cs="Times New Roman"/>
        </w:rPr>
        <w:t xml:space="preserve"> </w:t>
      </w:r>
      <w:r>
        <w:rPr>
          <w:rFonts w:ascii="Times New Roman" w:hAnsi="Times New Roman" w:cs="Times New Roman"/>
        </w:rPr>
        <w:t xml:space="preserve">However, given that the Commissioner determined that the attribution should include </w:t>
      </w:r>
      <w:proofErr w:type="spellStart"/>
      <w:r>
        <w:rPr>
          <w:rFonts w:ascii="Times New Roman" w:hAnsi="Times New Roman" w:cs="Times New Roman"/>
        </w:rPr>
        <w:t>GHMSI’s</w:t>
      </w:r>
      <w:proofErr w:type="spellEnd"/>
      <w:r>
        <w:rPr>
          <w:rFonts w:ascii="Times New Roman" w:hAnsi="Times New Roman" w:cs="Times New Roman"/>
        </w:rPr>
        <w:t xml:space="preserve"> interest in </w:t>
      </w:r>
      <w:proofErr w:type="spellStart"/>
      <w:r>
        <w:rPr>
          <w:rFonts w:ascii="Times New Roman" w:hAnsi="Times New Roman" w:cs="Times New Roman"/>
        </w:rPr>
        <w:t>BlueChoice</w:t>
      </w:r>
      <w:proofErr w:type="spellEnd"/>
      <w:r>
        <w:rPr>
          <w:rFonts w:ascii="Times New Roman" w:hAnsi="Times New Roman" w:cs="Times New Roman"/>
        </w:rPr>
        <w:t xml:space="preserve">, 2014 Decision at 54 </w:t>
      </w:r>
      <w:proofErr w:type="spellStart"/>
      <w:r>
        <w:rPr>
          <w:rFonts w:ascii="Times New Roman" w:hAnsi="Times New Roman" w:cs="Times New Roman"/>
        </w:rPr>
        <w:t>n.28</w:t>
      </w:r>
      <w:proofErr w:type="spellEnd"/>
      <w:r>
        <w:rPr>
          <w:rFonts w:ascii="Times New Roman" w:hAnsi="Times New Roman" w:cs="Times New Roman"/>
        </w:rPr>
        <w:t>, that interest is included in this calculation, resulting in a lower attribution (58.3%).</w:t>
      </w:r>
      <w:r w:rsidR="009A5602">
        <w:rPr>
          <w:rFonts w:ascii="Times New Roman" w:hAnsi="Times New Roman" w:cs="Times New Roman"/>
        </w:rPr>
        <w:t xml:space="preserve"> </w:t>
      </w:r>
      <w:proofErr w:type="spellStart"/>
      <w:r w:rsidR="009A5602">
        <w:rPr>
          <w:rFonts w:ascii="Times New Roman" w:hAnsi="Times New Roman" w:cs="Times New Roman"/>
        </w:rPr>
        <w:t>A1732</w:t>
      </w:r>
      <w:proofErr w:type="spellEnd"/>
      <w:r w:rsidR="009A5602">
        <w:rPr>
          <w:rFonts w:ascii="Times New Roman" w:hAnsi="Times New Roman" w:cs="Times New Roman"/>
        </w:rPr>
        <w:t>.</w:t>
      </w:r>
    </w:p>
  </w:footnote>
  <w:footnote w:id="10">
    <w:p w:rsidR="009A6BAD" w:rsidRDefault="009A6BAD">
      <w:pPr>
        <w:pStyle w:val="FootnoteText"/>
      </w:pPr>
      <w:r>
        <w:rPr>
          <w:rStyle w:val="FootnoteReference"/>
        </w:rPr>
        <w:footnoteRef/>
      </w:r>
      <w:r>
        <w:t xml:space="preserve"> </w:t>
      </w:r>
      <w:r w:rsidR="00C641B3" w:rsidRPr="00553019">
        <w:rPr>
          <w:rFonts w:cstheme="minorHAnsi"/>
        </w:rPr>
        <w:t>D.C. Code Section 31-3506(</w:t>
      </w:r>
      <w:proofErr w:type="spellStart"/>
      <w:r w:rsidR="00C641B3" w:rsidRPr="00553019">
        <w:rPr>
          <w:rFonts w:cstheme="minorHAnsi"/>
        </w:rPr>
        <w:t>i</w:t>
      </w:r>
      <w:proofErr w:type="spellEnd"/>
      <w:r w:rsidR="00C641B3" w:rsidRPr="00553019">
        <w:rPr>
          <w:rFonts w:cstheme="minorHAnsi"/>
        </w:rPr>
        <w:t>)</w:t>
      </w:r>
      <w:r w:rsidR="00C641B3">
        <w:rPr>
          <w:rFonts w:cstheme="minorHAnsi"/>
        </w:rPr>
        <w:t>.</w:t>
      </w:r>
    </w:p>
  </w:footnote>
  <w:footnote w:id="11">
    <w:p w:rsidR="00CF23E9" w:rsidRDefault="00CF23E9" w:rsidP="00FE3CE0">
      <w:pPr>
        <w:spacing w:after="120"/>
        <w:jc w:val="both"/>
        <w:rPr>
          <w:szCs w:val="20"/>
        </w:rPr>
      </w:pPr>
      <w:r>
        <w:rPr>
          <w:rStyle w:val="FootnoteReference"/>
          <w:szCs w:val="20"/>
        </w:rPr>
        <w:footnoteRef/>
      </w:r>
      <w:r>
        <w:rPr>
          <w:szCs w:val="20"/>
        </w:rPr>
        <w:t xml:space="preserve"> </w:t>
      </w:r>
      <w:r>
        <w:rPr>
          <w:rFonts w:eastAsia="Times New Roman" w:cstheme="minorHAnsi"/>
          <w:szCs w:val="20"/>
        </w:rPr>
        <w:t xml:space="preserve">As the Court of Appeals laid out in some detail in its first opinion, when Appleseed appealed </w:t>
      </w:r>
      <w:proofErr w:type="spellStart"/>
      <w:r>
        <w:rPr>
          <w:rFonts w:eastAsia="Times New Roman" w:cstheme="minorHAnsi"/>
          <w:szCs w:val="20"/>
        </w:rPr>
        <w:t>DISB’s</w:t>
      </w:r>
      <w:proofErr w:type="spellEnd"/>
      <w:r>
        <w:rPr>
          <w:rFonts w:eastAsia="Times New Roman" w:cstheme="minorHAnsi"/>
          <w:szCs w:val="20"/>
        </w:rPr>
        <w:t xml:space="preserve"> erroneous October 2010 determination that </w:t>
      </w:r>
      <w:proofErr w:type="spellStart"/>
      <w:r>
        <w:rPr>
          <w:rFonts w:eastAsia="Times New Roman" w:cstheme="minorHAnsi"/>
          <w:szCs w:val="20"/>
        </w:rPr>
        <w:t>GHMSI</w:t>
      </w:r>
      <w:proofErr w:type="spellEnd"/>
      <w:r>
        <w:rPr>
          <w:rFonts w:eastAsia="Times New Roman" w:cstheme="minorHAnsi"/>
          <w:szCs w:val="20"/>
        </w:rPr>
        <w:t xml:space="preserve"> has no excess surplus, that appeal came “at the end of Appleseed’s protracted pursuit of greater investment by </w:t>
      </w:r>
      <w:proofErr w:type="spellStart"/>
      <w:r>
        <w:rPr>
          <w:rFonts w:eastAsia="Times New Roman" w:cstheme="minorHAnsi"/>
          <w:szCs w:val="20"/>
        </w:rPr>
        <w:t>GHMSI</w:t>
      </w:r>
      <w:proofErr w:type="spellEnd"/>
      <w:r>
        <w:rPr>
          <w:rFonts w:eastAsia="Times New Roman" w:cstheme="minorHAnsi"/>
          <w:szCs w:val="20"/>
        </w:rPr>
        <w:t xml:space="preserve"> in accessible health care for D.C. residents.” D.C. Appleseed Ctr. for Law &amp; Justice, Inc. v. D.C. Dep’t of Ins., Secs., &amp; Banking, 54 </w:t>
      </w:r>
      <w:proofErr w:type="spellStart"/>
      <w:r>
        <w:rPr>
          <w:rFonts w:eastAsia="Times New Roman" w:cstheme="minorHAnsi"/>
          <w:szCs w:val="20"/>
        </w:rPr>
        <w:t>A.3d</w:t>
      </w:r>
      <w:proofErr w:type="spellEnd"/>
      <w:r>
        <w:rPr>
          <w:rFonts w:eastAsia="Times New Roman" w:cstheme="minorHAnsi"/>
          <w:szCs w:val="20"/>
        </w:rPr>
        <w:t xml:space="preserve"> 1188, 1210 (D.C. 2012). As the Court said, Appleseed has not “merely [sought] to enforce the requirements of the </w:t>
      </w:r>
      <w:proofErr w:type="spellStart"/>
      <w:r>
        <w:rPr>
          <w:rFonts w:eastAsia="Times New Roman" w:cstheme="minorHAnsi"/>
          <w:szCs w:val="20"/>
        </w:rPr>
        <w:t>MIEAA</w:t>
      </w:r>
      <w:proofErr w:type="spellEnd"/>
      <w:r>
        <w:rPr>
          <w:rFonts w:eastAsia="Times New Roman" w:cstheme="minorHAnsi"/>
          <w:szCs w:val="20"/>
        </w:rPr>
        <w:t xml:space="preserve">, but has been a catalyst for and helped to create those requirements.” </w:t>
      </w:r>
      <w:r w:rsidRPr="00A75B9B">
        <w:rPr>
          <w:rFonts w:eastAsia="Times New Roman" w:cstheme="minorHAnsi"/>
          <w:i/>
          <w:szCs w:val="20"/>
        </w:rPr>
        <w:t>Id.</w:t>
      </w:r>
      <w:r>
        <w:rPr>
          <w:rFonts w:eastAsia="Times New Roman" w:cstheme="minorHAnsi"/>
          <w:szCs w:val="20"/>
        </w:rPr>
        <w:t xml:space="preserve"> As the Court also said, Appleseed has engaged in “dogged and concrete work </w:t>
      </w:r>
      <w:r w:rsidR="007D4667">
        <w:rPr>
          <w:rFonts w:eastAsia="Times New Roman" w:cstheme="minorHAnsi"/>
          <w:szCs w:val="20"/>
        </w:rPr>
        <w:t>. . .</w:t>
      </w:r>
      <w:r>
        <w:rPr>
          <w:rFonts w:eastAsia="Times New Roman" w:cstheme="minorHAnsi"/>
          <w:szCs w:val="20"/>
        </w:rPr>
        <w:t xml:space="preserve"> over a number of years to establish and enforce the legal structure created by the </w:t>
      </w:r>
      <w:proofErr w:type="spellStart"/>
      <w:r>
        <w:rPr>
          <w:rFonts w:eastAsia="Times New Roman" w:cstheme="minorHAnsi"/>
          <w:szCs w:val="20"/>
        </w:rPr>
        <w:t>MIEAA</w:t>
      </w:r>
      <w:proofErr w:type="spellEnd"/>
      <w:r>
        <w:rPr>
          <w:rFonts w:eastAsia="Times New Roman" w:cstheme="minorHAnsi"/>
          <w:szCs w:val="20"/>
        </w:rPr>
        <w:t xml:space="preserve"> so as to enhance the availability of affordable health care and promote public health in the District of Columbia." </w:t>
      </w:r>
      <w:r w:rsidRPr="00A75B9B">
        <w:rPr>
          <w:rFonts w:eastAsia="Times New Roman" w:cstheme="minorHAnsi"/>
          <w:i/>
          <w:szCs w:val="20"/>
        </w:rPr>
        <w:t>Id.</w:t>
      </w:r>
      <w:r>
        <w:rPr>
          <w:rFonts w:eastAsia="Times New Roman" w:cstheme="minorHAnsi"/>
          <w:szCs w:val="20"/>
        </w:rPr>
        <w:t xml:space="preserve"> at 1208.</w:t>
      </w:r>
    </w:p>
  </w:footnote>
  <w:footnote w:id="12">
    <w:p w:rsidR="00CF23E9" w:rsidRDefault="00CF23E9" w:rsidP="00A10E3B">
      <w:pPr>
        <w:spacing w:after="120"/>
        <w:jc w:val="both"/>
      </w:pPr>
      <w:r>
        <w:rPr>
          <w:rStyle w:val="FootnoteReference"/>
          <w:szCs w:val="20"/>
        </w:rPr>
        <w:footnoteRef/>
      </w:r>
      <w:r>
        <w:rPr>
          <w:szCs w:val="20"/>
        </w:rPr>
        <w:t xml:space="preserve"> </w:t>
      </w:r>
      <w:r>
        <w:rPr>
          <w:rFonts w:eastAsia="Times New Roman" w:cstheme="minorHAnsi"/>
          <w:szCs w:val="20"/>
        </w:rPr>
        <w:t xml:space="preserve">As the Commissioner said in his December 2014 decision finding $268 million in excess surplus, “[t]he Commissioner acknowledges and appreciates Appleseed’s efforts in enhancing the record and contributing its analyses of </w:t>
      </w:r>
      <w:proofErr w:type="spellStart"/>
      <w:r>
        <w:rPr>
          <w:rFonts w:eastAsia="Times New Roman" w:cstheme="minorHAnsi"/>
          <w:szCs w:val="20"/>
        </w:rPr>
        <w:t>GHMSI’s</w:t>
      </w:r>
      <w:proofErr w:type="spellEnd"/>
      <w:r>
        <w:rPr>
          <w:rFonts w:eastAsia="Times New Roman" w:cstheme="minorHAnsi"/>
          <w:szCs w:val="20"/>
        </w:rPr>
        <w:t xml:space="preserve"> surplus.” </w:t>
      </w:r>
      <w:r w:rsidR="00060F34">
        <w:rPr>
          <w:rFonts w:eastAsia="Times New Roman" w:cstheme="minorHAnsi"/>
          <w:szCs w:val="20"/>
        </w:rPr>
        <w:t xml:space="preserve">2014 Decision at 7 </w:t>
      </w:r>
      <w:proofErr w:type="spellStart"/>
      <w:r w:rsidR="00060F34">
        <w:rPr>
          <w:rFonts w:eastAsia="Times New Roman" w:cstheme="minorHAnsi"/>
          <w:szCs w:val="20"/>
        </w:rPr>
        <w:t>n.2</w:t>
      </w:r>
      <w:proofErr w:type="spellEnd"/>
      <w:r>
        <w:rPr>
          <w:rFonts w:eastAsia="Times New Roman" w:cstheme="minorHAnsi"/>
          <w:szCs w:val="20"/>
        </w:rPr>
        <w:t xml:space="preserve">. The Commissioner also explained that the permitted extensive involvement by Appleseed in the remand proceedings “in light of Appleseed’s longstanding involvement with and special interest in the </w:t>
      </w:r>
      <w:proofErr w:type="spellStart"/>
      <w:r>
        <w:rPr>
          <w:rFonts w:eastAsia="Times New Roman" w:cstheme="minorHAnsi"/>
          <w:szCs w:val="20"/>
        </w:rPr>
        <w:t>MIEAA</w:t>
      </w:r>
      <w:proofErr w:type="spellEnd"/>
      <w:r>
        <w:rPr>
          <w:rFonts w:eastAsia="Times New Roman" w:cstheme="minorHAnsi"/>
          <w:szCs w:val="20"/>
        </w:rPr>
        <w:t xml:space="preserve">.” </w:t>
      </w:r>
      <w:r w:rsidRPr="00A75B9B">
        <w:rPr>
          <w:rFonts w:eastAsia="Times New Roman" w:cstheme="minorHAnsi"/>
          <w:i/>
          <w:szCs w:val="20"/>
        </w:rPr>
        <w:t>Id.</w:t>
      </w:r>
      <w:r>
        <w:rPr>
          <w:rFonts w:eastAsia="Times New Roman" w:cstheme="minorHAnsi"/>
          <w:szCs w:val="20"/>
        </w:rPr>
        <w:t xml:space="preserve"> at 7 </w:t>
      </w:r>
      <w:proofErr w:type="spellStart"/>
      <w:r>
        <w:rPr>
          <w:rFonts w:eastAsia="Times New Roman" w:cstheme="minorHAnsi"/>
          <w:szCs w:val="20"/>
        </w:rPr>
        <w:t>n.2</w:t>
      </w:r>
      <w:proofErr w:type="spellEnd"/>
      <w:r>
        <w:rPr>
          <w:rFonts w:eastAsia="Times New Roman" w:cstheme="minorHAnsi"/>
          <w:szCs w:val="20"/>
        </w:rPr>
        <w:t>.</w:t>
      </w:r>
    </w:p>
  </w:footnote>
  <w:footnote w:id="13">
    <w:p w:rsidR="00CF23E9" w:rsidRDefault="00CF23E9" w:rsidP="00A10E3B">
      <w:pPr>
        <w:pStyle w:val="FootnoteText"/>
        <w:spacing w:line="240" w:lineRule="auto"/>
        <w:jc w:val="both"/>
      </w:pPr>
      <w:r>
        <w:rPr>
          <w:rStyle w:val="FootnoteReference"/>
        </w:rPr>
        <w:footnoteRef/>
      </w:r>
      <w:r>
        <w:t xml:space="preserve"> </w:t>
      </w:r>
      <w:proofErr w:type="spellStart"/>
      <w:r>
        <w:rPr>
          <w:rFonts w:eastAsia="Times New Roman" w:cstheme="minorHAnsi"/>
        </w:rPr>
        <w:t>MIEAA</w:t>
      </w:r>
      <w:proofErr w:type="spellEnd"/>
      <w:r>
        <w:rPr>
          <w:rFonts w:eastAsia="Times New Roman" w:cstheme="minorHAnsi"/>
        </w:rPr>
        <w:t xml:space="preserve"> provides that “[w]hen determining what surplus is attributable to the District and whether surplus is excessive, the Commissioner may retain . . . independent actuaries . . . the cost of which shall be borne by the corporation.” D.C. Code § 31-3506(h) (emphasis added). </w:t>
      </w:r>
      <w:proofErr w:type="spellStart"/>
      <w:r>
        <w:rPr>
          <w:rFonts w:eastAsia="Times New Roman" w:cstheme="minorHAnsi"/>
        </w:rPr>
        <w:t>DISB</w:t>
      </w:r>
      <w:proofErr w:type="spellEnd"/>
      <w:r>
        <w:rPr>
          <w:rFonts w:eastAsia="Times New Roman" w:cstheme="minorHAnsi"/>
        </w:rPr>
        <w:t xml:space="preserve"> regulations further clarify that “the Commissioner shall make a final determination regarding the corporation’s surplus . . . with the assistance of experts, if necessary,” and that “[t]he cost of any experts used by the Commissioner shall be borne by the corporation.” D.C. </w:t>
      </w:r>
      <w:proofErr w:type="spellStart"/>
      <w:r>
        <w:rPr>
          <w:rFonts w:eastAsia="Times New Roman" w:cstheme="minorHAnsi"/>
        </w:rPr>
        <w:t>Mun</w:t>
      </w:r>
      <w:proofErr w:type="spellEnd"/>
      <w:r>
        <w:rPr>
          <w:rFonts w:eastAsia="Times New Roman" w:cstheme="minorHAnsi"/>
        </w:rPr>
        <w:t xml:space="preserve">. </w:t>
      </w:r>
      <w:proofErr w:type="spellStart"/>
      <w:r>
        <w:rPr>
          <w:rFonts w:eastAsia="Times New Roman" w:cstheme="minorHAnsi"/>
        </w:rPr>
        <w:t>Regs</w:t>
      </w:r>
      <w:proofErr w:type="spellEnd"/>
      <w:r>
        <w:rPr>
          <w:rFonts w:eastAsia="Times New Roman" w:cstheme="minorHAnsi"/>
        </w:rPr>
        <w:t xml:space="preserve">. tit. </w:t>
      </w:r>
      <w:proofErr w:type="spellStart"/>
      <w:r>
        <w:rPr>
          <w:rFonts w:eastAsia="Times New Roman" w:cstheme="minorHAnsi"/>
        </w:rPr>
        <w:t>26A</w:t>
      </w:r>
      <w:proofErr w:type="spellEnd"/>
      <w:r>
        <w:rPr>
          <w:rFonts w:eastAsia="Times New Roman" w:cstheme="minorHAnsi"/>
        </w:rPr>
        <w:t xml:space="preserve">, § 4602.5 (emphasis added). </w:t>
      </w:r>
      <w:proofErr w:type="spellStart"/>
      <w:r>
        <w:rPr>
          <w:rFonts w:eastAsia="Times New Roman" w:cstheme="minorHAnsi"/>
        </w:rPr>
        <w:t>MIEAA</w:t>
      </w:r>
      <w:proofErr w:type="spellEnd"/>
      <w:r>
        <w:rPr>
          <w:rFonts w:eastAsia="Times New Roman" w:cstheme="minorHAnsi"/>
        </w:rPr>
        <w:t xml:space="preserve"> also allows the commissioner to “issue such orders as are necessary to enforce the purposes of” the act. D.C. Code § 31-3506(</w:t>
      </w:r>
      <w:proofErr w:type="spellStart"/>
      <w:r>
        <w:rPr>
          <w:rFonts w:eastAsia="Times New Roman" w:cstheme="minorHAnsi"/>
        </w:rPr>
        <w:t>i</w:t>
      </w:r>
      <w:proofErr w:type="spellEnd"/>
      <w:r>
        <w:rPr>
          <w:rFonts w:eastAsia="Times New Roman" w:cstheme="minorHAnsi"/>
        </w:rPr>
        <w:t>). As the Commissioner has recognized, “</w:t>
      </w:r>
      <w:proofErr w:type="spellStart"/>
      <w:r>
        <w:rPr>
          <w:rFonts w:eastAsia="Times New Roman" w:cstheme="minorHAnsi"/>
        </w:rPr>
        <w:t>MIEAA</w:t>
      </w:r>
      <w:proofErr w:type="spellEnd"/>
      <w:r>
        <w:rPr>
          <w:rFonts w:eastAsia="Times New Roman" w:cstheme="minorHAnsi"/>
        </w:rPr>
        <w:t xml:space="preserve"> was enacted ‘to ensure that nonprofit hospital and medical service corporations pursue their public health mission.’”</w:t>
      </w:r>
      <w:r w:rsidR="008B5978">
        <w:rPr>
          <w:rFonts w:eastAsia="Times New Roman" w:cstheme="minorHAnsi"/>
        </w:rPr>
        <w:t xml:space="preserve"> Decision and Order at 15,</w:t>
      </w:r>
      <w:r>
        <w:rPr>
          <w:rFonts w:eastAsia="Times New Roman" w:cstheme="minorHAnsi"/>
        </w:rPr>
        <w:t xml:space="preserve"> </w:t>
      </w:r>
      <w:r>
        <w:rPr>
          <w:rFonts w:eastAsia="Times New Roman" w:cstheme="minorHAnsi"/>
          <w:i/>
        </w:rPr>
        <w:t xml:space="preserve">In re </w:t>
      </w:r>
      <w:r>
        <w:rPr>
          <w:rFonts w:eastAsia="Times New Roman" w:cstheme="minorHAnsi"/>
        </w:rPr>
        <w:t xml:space="preserve">Surplus Review &amp; Determination for Grp. Hospitalization &amp; Med. </w:t>
      </w:r>
      <w:proofErr w:type="spellStart"/>
      <w:r>
        <w:rPr>
          <w:rFonts w:eastAsia="Times New Roman" w:cstheme="minorHAnsi"/>
        </w:rPr>
        <w:t>Serv</w:t>
      </w:r>
      <w:r w:rsidR="008B5978">
        <w:rPr>
          <w:rFonts w:eastAsia="Times New Roman" w:cstheme="minorHAnsi"/>
        </w:rPr>
        <w:t>s</w:t>
      </w:r>
      <w:proofErr w:type="spellEnd"/>
      <w:r w:rsidR="008B5978">
        <w:rPr>
          <w:rFonts w:eastAsia="Times New Roman" w:cstheme="minorHAnsi"/>
        </w:rPr>
        <w:t>., Inc., No. 14-MIE-19</w:t>
      </w:r>
      <w:r>
        <w:rPr>
          <w:rFonts w:eastAsia="Times New Roman" w:cstheme="minorHAnsi"/>
        </w:rPr>
        <w:t xml:space="preserve"> (D.C. Dep’t of Ins., Sec. &amp; Banking, Aug. 30, 2016).</w:t>
      </w:r>
    </w:p>
  </w:footnote>
  <w:footnote w:id="14">
    <w:p w:rsidR="00396724" w:rsidRDefault="00396724">
      <w:pPr>
        <w:pStyle w:val="FootnoteText"/>
      </w:pPr>
      <w:r>
        <w:rPr>
          <w:rStyle w:val="FootnoteReference"/>
        </w:rPr>
        <w:footnoteRef/>
      </w:r>
      <w:r>
        <w:t xml:space="preserve"> </w:t>
      </w:r>
      <w:r w:rsidRPr="00396724">
        <w:t>If the Commissioner approves reimbu</w:t>
      </w:r>
      <w:r>
        <w:t>rsing Appleseed for its out-of-</w:t>
      </w:r>
      <w:r w:rsidRPr="00396724">
        <w:t>pocket actuarial fees, Appleseed will submit invoices documenting these fees.</w:t>
      </w:r>
    </w:p>
  </w:footnote>
  <w:footnote w:id="15">
    <w:p w:rsidR="00CF23E9" w:rsidRDefault="00CF23E9" w:rsidP="00A10E3B">
      <w:pPr>
        <w:spacing w:after="120"/>
        <w:jc w:val="both"/>
      </w:pPr>
      <w:r>
        <w:rPr>
          <w:rStyle w:val="FootnoteReference"/>
        </w:rPr>
        <w:footnoteRef/>
      </w:r>
      <w:r>
        <w:t xml:space="preserve"> Further, it was not only the Council’s intention to use </w:t>
      </w:r>
      <w:proofErr w:type="spellStart"/>
      <w:r>
        <w:t>GHMSI’s</w:t>
      </w:r>
      <w:proofErr w:type="spellEnd"/>
      <w:r>
        <w:t xml:space="preserve"> excess surplus to address pressing community health needs, but to address the needs of </w:t>
      </w:r>
      <w:r>
        <w:rPr>
          <w:i/>
        </w:rPr>
        <w:t>District residents</w:t>
      </w:r>
      <w:r>
        <w:t xml:space="preserve">. Because the vast majority of </w:t>
      </w:r>
      <w:proofErr w:type="spellStart"/>
      <w:r>
        <w:t>GHMSI</w:t>
      </w:r>
      <w:proofErr w:type="spellEnd"/>
      <w:r>
        <w:t xml:space="preserve"> subscribers are not District residents, this means that returning the whole of the excess surplus exclusively as rebates to individual current </w:t>
      </w:r>
      <w:proofErr w:type="spellStart"/>
      <w:r>
        <w:t>GHMSI</w:t>
      </w:r>
      <w:proofErr w:type="spellEnd"/>
      <w:r>
        <w:t xml:space="preserve"> subscribers will not serve </w:t>
      </w:r>
      <w:r w:rsidR="009E167F">
        <w:t>the</w:t>
      </w:r>
      <w:r>
        <w:t xml:space="preserve"> Council</w:t>
      </w:r>
      <w:r w:rsidR="009E167F">
        <w:t>’s</w:t>
      </w:r>
      <w:r>
        <w:t xml:space="preserve"> purpose.</w:t>
      </w:r>
    </w:p>
    <w:p w:rsidR="00CF23E9" w:rsidRDefault="00CF23E9" w:rsidP="005062F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988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A1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1C3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09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C1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219A"/>
    <w:multiLevelType w:val="hybridMultilevel"/>
    <w:tmpl w:val="8DAC7DDC"/>
    <w:lvl w:ilvl="0" w:tplc="86BA06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2A653B"/>
    <w:multiLevelType w:val="hybridMultilevel"/>
    <w:tmpl w:val="A4B0A5DC"/>
    <w:lvl w:ilvl="0" w:tplc="69346C30">
      <w:start w:val="1"/>
      <w:numFmt w:val="decimal"/>
      <w:pStyle w:val="Numb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5679B"/>
    <w:multiLevelType w:val="multilevel"/>
    <w:tmpl w:val="E7541A2A"/>
    <w:numStyleLink w:val="ListNumbers"/>
  </w:abstractNum>
  <w:abstractNum w:abstractNumId="13" w15:restartNumberingAfterBreak="0">
    <w:nsid w:val="0A4811F7"/>
    <w:multiLevelType w:val="hybridMultilevel"/>
    <w:tmpl w:val="C3F04560"/>
    <w:lvl w:ilvl="0" w:tplc="EEF01544">
      <w:start w:val="1"/>
      <w:numFmt w:val="upperLetter"/>
      <w:pStyle w:val="Lett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B5378A"/>
    <w:multiLevelType w:val="hybridMultilevel"/>
    <w:tmpl w:val="D7D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05385D"/>
    <w:multiLevelType w:val="hybridMultilevel"/>
    <w:tmpl w:val="085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16A43"/>
    <w:multiLevelType w:val="hybridMultilevel"/>
    <w:tmpl w:val="BF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960B76"/>
    <w:multiLevelType w:val="hybridMultilevel"/>
    <w:tmpl w:val="CA4A2FE8"/>
    <w:lvl w:ilvl="0" w:tplc="EFCC0006">
      <w:start w:val="1"/>
      <w:numFmt w:val="upperLetter"/>
      <w:pStyle w:val="Lett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E724EA"/>
    <w:multiLevelType w:val="hybridMultilevel"/>
    <w:tmpl w:val="9896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123D8"/>
    <w:multiLevelType w:val="hybridMultilevel"/>
    <w:tmpl w:val="B66CD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76B659B"/>
    <w:multiLevelType w:val="hybridMultilevel"/>
    <w:tmpl w:val="B3CAD45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8C412EA"/>
    <w:multiLevelType w:val="hybridMultilevel"/>
    <w:tmpl w:val="A4E4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2E0F3282"/>
    <w:multiLevelType w:val="multilevel"/>
    <w:tmpl w:val="3C8E76B0"/>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24" w15:restartNumberingAfterBreak="0">
    <w:nsid w:val="3044517E"/>
    <w:multiLevelType w:val="hybridMultilevel"/>
    <w:tmpl w:val="4BCE8392"/>
    <w:lvl w:ilvl="0" w:tplc="C254ACC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41C585A"/>
    <w:multiLevelType w:val="hybridMultilevel"/>
    <w:tmpl w:val="60A2AC98"/>
    <w:lvl w:ilvl="0" w:tplc="04090015">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35C62D8F"/>
    <w:multiLevelType w:val="hybridMultilevel"/>
    <w:tmpl w:val="0492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267B4C"/>
    <w:multiLevelType w:val="hybridMultilevel"/>
    <w:tmpl w:val="B83AFF24"/>
    <w:lvl w:ilvl="0" w:tplc="8EB4106C">
      <w:start w:val="1"/>
      <w:numFmt w:val="decimal"/>
      <w:pStyle w:val="Numb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616FE9"/>
    <w:multiLevelType w:val="hybridMultilevel"/>
    <w:tmpl w:val="A930091E"/>
    <w:lvl w:ilvl="0" w:tplc="8F844468">
      <w:start w:val="2"/>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9" w15:restartNumberingAfterBreak="0">
    <w:nsid w:val="3B4B76A2"/>
    <w:multiLevelType w:val="hybridMultilevel"/>
    <w:tmpl w:val="A0CAEA20"/>
    <w:lvl w:ilvl="0" w:tplc="65722662">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3F6D07D2"/>
    <w:multiLevelType w:val="hybridMultilevel"/>
    <w:tmpl w:val="B6489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2AE5147"/>
    <w:multiLevelType w:val="hybridMultilevel"/>
    <w:tmpl w:val="76B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39273C"/>
    <w:multiLevelType w:val="hybridMultilevel"/>
    <w:tmpl w:val="2A6CCBD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4CC5616D"/>
    <w:multiLevelType w:val="hybridMultilevel"/>
    <w:tmpl w:val="9D4E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EC7FE0"/>
    <w:multiLevelType w:val="hybridMultilevel"/>
    <w:tmpl w:val="215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11C7D"/>
    <w:multiLevelType w:val="hybridMultilevel"/>
    <w:tmpl w:val="1B3057D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FC55EC"/>
    <w:multiLevelType w:val="hybridMultilevel"/>
    <w:tmpl w:val="B5A28A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CE68F0"/>
    <w:multiLevelType w:val="hybridMultilevel"/>
    <w:tmpl w:val="2A54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1D49BA"/>
    <w:multiLevelType w:val="hybridMultilevel"/>
    <w:tmpl w:val="6524A9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531461"/>
    <w:multiLevelType w:val="multilevel"/>
    <w:tmpl w:val="1C28AD60"/>
    <w:numStyleLink w:val="ListBullets"/>
  </w:abstractNum>
  <w:abstractNum w:abstractNumId="41" w15:restartNumberingAfterBreak="0">
    <w:nsid w:val="7E880B55"/>
    <w:multiLevelType w:val="hybridMultilevel"/>
    <w:tmpl w:val="5734E122"/>
    <w:lvl w:ilvl="0" w:tplc="83665146">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18"/>
  </w:num>
  <w:num w:numId="10">
    <w:abstractNumId w:val="32"/>
  </w:num>
  <w:num w:numId="11">
    <w:abstractNumId w:val="35"/>
  </w:num>
  <w:num w:numId="12">
    <w:abstractNumId w:val="34"/>
  </w:num>
  <w:num w:numId="13">
    <w:abstractNumId w:val="16"/>
  </w:num>
  <w:num w:numId="14">
    <w:abstractNumId w:val="21"/>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lvlOverride w:ilvl="0">
      <w:lvl w:ilvl="0">
        <w:start w:val="1"/>
        <w:numFmt w:val="upperRoman"/>
        <w:pStyle w:val="Heading1"/>
        <w:lvlText w:val="%1."/>
        <w:lvlJc w:val="left"/>
        <w:pPr>
          <w:tabs>
            <w:tab w:val="num" w:pos="720"/>
          </w:tabs>
          <w:ind w:left="720" w:hanging="720"/>
        </w:pPr>
        <w:rPr>
          <w:rFonts w:asciiTheme="majorHAnsi" w:hAnsiTheme="majorHAnsi" w:hint="default"/>
          <w:sz w:val="24"/>
        </w:rPr>
      </w:lvl>
    </w:lvlOverride>
    <w:lvlOverride w:ilvl="1">
      <w:lvl w:ilvl="1">
        <w:start w:val="1"/>
        <w:numFmt w:val="upperLetter"/>
        <w:pStyle w:val="Heading2"/>
        <w:lvlText w:val="%2."/>
        <w:lvlJc w:val="left"/>
        <w:pPr>
          <w:tabs>
            <w:tab w:val="num" w:pos="1440"/>
          </w:tabs>
          <w:ind w:left="1440" w:hanging="720"/>
        </w:pPr>
        <w:rPr>
          <w:rFonts w:hint="default"/>
        </w:rPr>
      </w:lvl>
    </w:lvlOverride>
    <w:lvlOverride w:ilvl="2">
      <w:lvl w:ilvl="2">
        <w:start w:val="1"/>
        <w:numFmt w:val="decimal"/>
        <w:pStyle w:val="Heading3"/>
        <w:lvlText w:val="%3."/>
        <w:lvlJc w:val="left"/>
        <w:pPr>
          <w:tabs>
            <w:tab w:val="num" w:pos="2160"/>
          </w:tabs>
          <w:ind w:left="2160" w:hanging="720"/>
        </w:pPr>
        <w:rPr>
          <w:rFonts w:hint="default"/>
        </w:rPr>
      </w:lvl>
    </w:lvlOverride>
    <w:lvlOverride w:ilvl="3">
      <w:lvl w:ilvl="3">
        <w:start w:val="1"/>
        <w:numFmt w:val="lowerLetter"/>
        <w:lvlText w:val="%4)"/>
        <w:lvlJc w:val="left"/>
        <w:pPr>
          <w:tabs>
            <w:tab w:val="num" w:pos="2880"/>
          </w:tabs>
          <w:ind w:left="2880" w:hanging="720"/>
        </w:pPr>
        <w:rPr>
          <w:rFonts w:hint="default"/>
        </w:rPr>
      </w:lvl>
    </w:lvlOverride>
    <w:lvlOverride w:ilvl="4">
      <w:lvl w:ilvl="4">
        <w:start w:val="1"/>
        <w:numFmt w:val="decimal"/>
        <w:pStyle w:val="Heading5"/>
        <w:lvlText w:val="(%5)"/>
        <w:lvlJc w:val="left"/>
        <w:pPr>
          <w:tabs>
            <w:tab w:val="num" w:pos="3600"/>
          </w:tabs>
          <w:ind w:left="3600" w:hanging="720"/>
        </w:pPr>
        <w:rPr>
          <w:rFonts w:hint="default"/>
        </w:rPr>
      </w:lvl>
    </w:lvlOverride>
    <w:lvlOverride w:ilvl="5">
      <w:lvl w:ilvl="5">
        <w:start w:val="1"/>
        <w:numFmt w:val="lowerLetter"/>
        <w:pStyle w:val="Heading6"/>
        <w:lvlText w:val="(%6)"/>
        <w:lvlJc w:val="left"/>
        <w:pPr>
          <w:tabs>
            <w:tab w:val="num" w:pos="4320"/>
          </w:tabs>
          <w:ind w:left="4320" w:hanging="720"/>
        </w:pPr>
        <w:rPr>
          <w:rFonts w:hint="default"/>
        </w:rPr>
      </w:lvl>
    </w:lvlOverride>
    <w:lvlOverride w:ilvl="6">
      <w:lvl w:ilvl="6">
        <w:start w:val="1"/>
        <w:numFmt w:val="lowerRoman"/>
        <w:pStyle w:val="Heading7"/>
        <w:lvlText w:val="(%7)"/>
        <w:lvlJc w:val="left"/>
        <w:pPr>
          <w:tabs>
            <w:tab w:val="num" w:pos="5040"/>
          </w:tabs>
          <w:ind w:left="5040" w:hanging="720"/>
        </w:pPr>
        <w:rPr>
          <w:rFonts w:hint="default"/>
        </w:rPr>
      </w:lvl>
    </w:lvlOverride>
    <w:lvlOverride w:ilvl="7">
      <w:lvl w:ilvl="7">
        <w:start w:val="1"/>
        <w:numFmt w:val="lowerLetter"/>
        <w:pStyle w:val="Heading8"/>
        <w:lvlText w:val="(%8)"/>
        <w:lvlJc w:val="left"/>
        <w:pPr>
          <w:tabs>
            <w:tab w:val="num" w:pos="5760"/>
          </w:tabs>
          <w:ind w:left="5760" w:hanging="720"/>
        </w:pPr>
        <w:rPr>
          <w:rFonts w:hint="default"/>
        </w:rPr>
      </w:lvl>
    </w:lvlOverride>
    <w:lvlOverride w:ilvl="8">
      <w:lvl w:ilvl="8">
        <w:start w:val="1"/>
        <w:numFmt w:val="lowerRoman"/>
        <w:pStyle w:val="Heading9"/>
        <w:lvlText w:val="(%9)"/>
        <w:lvlJc w:val="left"/>
        <w:pPr>
          <w:tabs>
            <w:tab w:val="num" w:pos="6480"/>
          </w:tabs>
          <w:ind w:left="6480" w:hanging="720"/>
        </w:pPr>
        <w:rPr>
          <w:rFonts w:hint="default"/>
        </w:rPr>
      </w:lvl>
    </w:lvlOverride>
  </w:num>
  <w:num w:numId="27">
    <w:abstractNumId w:val="30"/>
  </w:num>
  <w:num w:numId="28">
    <w:abstractNumId w:val="22"/>
  </w:num>
  <w:num w:numId="29">
    <w:abstractNumId w:val="17"/>
  </w:num>
  <w:num w:numId="30">
    <w:abstractNumId w:val="13"/>
  </w:num>
  <w:num w:numId="31">
    <w:abstractNumId w:val="27"/>
  </w:num>
  <w:num w:numId="32">
    <w:abstractNumId w:val="11"/>
  </w:num>
  <w:num w:numId="33">
    <w:abstractNumId w:val="40"/>
  </w:num>
  <w:num w:numId="34">
    <w:abstractNumId w:val="12"/>
  </w:num>
  <w:num w:numId="35">
    <w:abstractNumId w:val="23"/>
  </w:num>
  <w:num w:numId="36">
    <w:abstractNumId w:val="23"/>
    <w:lvlOverride w:ilvl="0">
      <w:lvl w:ilvl="0">
        <w:start w:val="1"/>
        <w:numFmt w:val="upperRoman"/>
        <w:pStyle w:val="Heading1"/>
        <w:lvlText w:val="%1."/>
        <w:lvlJc w:val="left"/>
        <w:pPr>
          <w:tabs>
            <w:tab w:val="num" w:pos="720"/>
          </w:tabs>
          <w:ind w:left="720" w:hanging="720"/>
        </w:pPr>
        <w:rPr>
          <w:rFonts w:asciiTheme="majorHAnsi" w:hAnsiTheme="majorHAnsi" w:hint="default"/>
          <w:sz w:val="28"/>
        </w:rPr>
      </w:lvl>
    </w:lvlOverride>
    <w:lvlOverride w:ilvl="1">
      <w:lvl w:ilvl="1">
        <w:start w:val="1"/>
        <w:numFmt w:val="upperLetter"/>
        <w:pStyle w:val="Heading2"/>
        <w:lvlText w:val="%2."/>
        <w:lvlJc w:val="left"/>
        <w:pPr>
          <w:tabs>
            <w:tab w:val="num" w:pos="1440"/>
          </w:tabs>
          <w:ind w:left="1440" w:hanging="720"/>
        </w:pPr>
        <w:rPr>
          <w:rFonts w:hint="default"/>
        </w:rPr>
      </w:lvl>
    </w:lvlOverride>
    <w:lvlOverride w:ilvl="2">
      <w:lvl w:ilvl="2">
        <w:start w:val="1"/>
        <w:numFmt w:val="decimal"/>
        <w:pStyle w:val="Heading3"/>
        <w:lvlText w:val="%3."/>
        <w:lvlJc w:val="left"/>
        <w:pPr>
          <w:tabs>
            <w:tab w:val="num" w:pos="2160"/>
          </w:tabs>
          <w:ind w:left="2160" w:hanging="720"/>
        </w:pPr>
        <w:rPr>
          <w:rFonts w:hint="default"/>
        </w:rPr>
      </w:lvl>
    </w:lvlOverride>
    <w:lvlOverride w:ilvl="3">
      <w:lvl w:ilvl="3">
        <w:start w:val="1"/>
        <w:numFmt w:val="lowerLetter"/>
        <w:lvlText w:val="%4)"/>
        <w:lvlJc w:val="left"/>
        <w:pPr>
          <w:tabs>
            <w:tab w:val="num" w:pos="2880"/>
          </w:tabs>
          <w:ind w:left="2880" w:hanging="720"/>
        </w:pPr>
        <w:rPr>
          <w:rFonts w:hint="default"/>
        </w:rPr>
      </w:lvl>
    </w:lvlOverride>
    <w:lvlOverride w:ilvl="4">
      <w:lvl w:ilvl="4">
        <w:start w:val="1"/>
        <w:numFmt w:val="decimal"/>
        <w:pStyle w:val="Heading5"/>
        <w:lvlText w:val="(%5)"/>
        <w:lvlJc w:val="left"/>
        <w:pPr>
          <w:tabs>
            <w:tab w:val="num" w:pos="3600"/>
          </w:tabs>
          <w:ind w:left="3600" w:hanging="720"/>
        </w:pPr>
        <w:rPr>
          <w:rFonts w:hint="default"/>
        </w:rPr>
      </w:lvl>
    </w:lvlOverride>
    <w:lvlOverride w:ilvl="5">
      <w:lvl w:ilvl="5">
        <w:start w:val="1"/>
        <w:numFmt w:val="lowerLetter"/>
        <w:pStyle w:val="Heading6"/>
        <w:lvlText w:val="(%6)"/>
        <w:lvlJc w:val="left"/>
        <w:pPr>
          <w:tabs>
            <w:tab w:val="num" w:pos="4320"/>
          </w:tabs>
          <w:ind w:left="4320" w:hanging="720"/>
        </w:pPr>
        <w:rPr>
          <w:rFonts w:hint="default"/>
        </w:rPr>
      </w:lvl>
    </w:lvlOverride>
    <w:lvlOverride w:ilvl="6">
      <w:lvl w:ilvl="6">
        <w:start w:val="1"/>
        <w:numFmt w:val="lowerRoman"/>
        <w:pStyle w:val="Heading7"/>
        <w:lvlText w:val="(%7)"/>
        <w:lvlJc w:val="left"/>
        <w:pPr>
          <w:tabs>
            <w:tab w:val="num" w:pos="5040"/>
          </w:tabs>
          <w:ind w:left="5040" w:hanging="720"/>
        </w:pPr>
        <w:rPr>
          <w:rFonts w:hint="default"/>
        </w:rPr>
      </w:lvl>
    </w:lvlOverride>
    <w:lvlOverride w:ilvl="7">
      <w:lvl w:ilvl="7">
        <w:start w:val="1"/>
        <w:numFmt w:val="lowerLetter"/>
        <w:pStyle w:val="Heading8"/>
        <w:lvlText w:val="(%8)"/>
        <w:lvlJc w:val="left"/>
        <w:pPr>
          <w:tabs>
            <w:tab w:val="num" w:pos="5760"/>
          </w:tabs>
          <w:ind w:left="5760" w:hanging="720"/>
        </w:pPr>
        <w:rPr>
          <w:rFonts w:hint="default"/>
        </w:rPr>
      </w:lvl>
    </w:lvlOverride>
    <w:lvlOverride w:ilvl="8">
      <w:lvl w:ilvl="8">
        <w:start w:val="1"/>
        <w:numFmt w:val="lowerRoman"/>
        <w:pStyle w:val="Heading9"/>
        <w:lvlText w:val="(%9)"/>
        <w:lvlJc w:val="left"/>
        <w:pPr>
          <w:tabs>
            <w:tab w:val="num" w:pos="6480"/>
          </w:tabs>
          <w:ind w:left="6480" w:hanging="720"/>
        </w:pPr>
        <w:rPr>
          <w:rFonts w:hint="default"/>
        </w:rPr>
      </w:lvl>
    </w:lvlOverride>
  </w:num>
  <w:num w:numId="37">
    <w:abstractNumId w:val="23"/>
    <w:lvlOverride w:ilvl="0">
      <w:startOverride w:val="1"/>
      <w:lvl w:ilvl="0">
        <w:start w:val="1"/>
        <w:numFmt w:val="upperRoman"/>
        <w:pStyle w:val="Heading1"/>
        <w:lvlText w:val="%1."/>
        <w:lvlJc w:val="left"/>
        <w:pPr>
          <w:tabs>
            <w:tab w:val="num" w:pos="720"/>
          </w:tabs>
          <w:ind w:left="720" w:hanging="720"/>
        </w:pPr>
        <w:rPr>
          <w:rFonts w:asciiTheme="majorHAnsi" w:hAnsiTheme="majorHAnsi" w:hint="default"/>
          <w:sz w:val="28"/>
        </w:rPr>
      </w:lvl>
    </w:lvlOverride>
    <w:lvlOverride w:ilvl="1">
      <w:startOverride w:val="1"/>
      <w:lvl w:ilvl="1">
        <w:start w:val="1"/>
        <w:numFmt w:val="upperLetter"/>
        <w:pStyle w:val="Heading2"/>
        <w:lvlText w:val="%2."/>
        <w:lvlJc w:val="left"/>
        <w:pPr>
          <w:tabs>
            <w:tab w:val="num" w:pos="1440"/>
          </w:tabs>
          <w:ind w:left="1440" w:hanging="720"/>
        </w:pPr>
        <w:rPr>
          <w:rFonts w:hint="default"/>
        </w:rPr>
      </w:lvl>
    </w:lvlOverride>
    <w:lvlOverride w:ilvl="2">
      <w:startOverride w:val="1"/>
      <w:lvl w:ilvl="2">
        <w:start w:val="1"/>
        <w:numFmt w:val="decimal"/>
        <w:pStyle w:val="Heading3"/>
        <w:lvlText w:val="%3."/>
        <w:lvlJc w:val="left"/>
        <w:pPr>
          <w:tabs>
            <w:tab w:val="num" w:pos="2160"/>
          </w:tabs>
          <w:ind w:left="2160" w:hanging="720"/>
        </w:pPr>
        <w:rPr>
          <w:rFonts w:hint="default"/>
        </w:rPr>
      </w:lvl>
    </w:lvlOverride>
    <w:lvlOverride w:ilvl="3">
      <w:startOverride w:val="1"/>
      <w:lvl w:ilvl="3">
        <w:start w:val="1"/>
        <w:numFmt w:val="lowerLetter"/>
        <w:lvlText w:val="%4)"/>
        <w:lvlJc w:val="left"/>
        <w:pPr>
          <w:tabs>
            <w:tab w:val="num" w:pos="2880"/>
          </w:tabs>
          <w:ind w:left="2880" w:hanging="720"/>
        </w:pPr>
        <w:rPr>
          <w:rFonts w:hint="default"/>
        </w:rPr>
      </w:lvl>
    </w:lvlOverride>
    <w:lvlOverride w:ilvl="4">
      <w:startOverride w:val="1"/>
      <w:lvl w:ilvl="4">
        <w:start w:val="1"/>
        <w:numFmt w:val="decimal"/>
        <w:pStyle w:val="Heading5"/>
        <w:lvlText w:val="(%5)"/>
        <w:lvlJc w:val="left"/>
        <w:pPr>
          <w:tabs>
            <w:tab w:val="num" w:pos="3600"/>
          </w:tabs>
          <w:ind w:left="3600" w:hanging="720"/>
        </w:pPr>
        <w:rPr>
          <w:rFonts w:hint="default"/>
        </w:rPr>
      </w:lvl>
    </w:lvlOverride>
    <w:lvlOverride w:ilvl="5">
      <w:startOverride w:val="1"/>
      <w:lvl w:ilvl="5">
        <w:start w:val="1"/>
        <w:numFmt w:val="lowerLetter"/>
        <w:pStyle w:val="Heading6"/>
        <w:lvlText w:val="(%6)"/>
        <w:lvlJc w:val="left"/>
        <w:pPr>
          <w:tabs>
            <w:tab w:val="num" w:pos="4320"/>
          </w:tabs>
          <w:ind w:left="4320" w:hanging="720"/>
        </w:pPr>
        <w:rPr>
          <w:rFonts w:hint="default"/>
        </w:rPr>
      </w:lvl>
    </w:lvlOverride>
    <w:lvlOverride w:ilvl="6">
      <w:startOverride w:val="1"/>
      <w:lvl w:ilvl="6">
        <w:start w:val="1"/>
        <w:numFmt w:val="lowerRoman"/>
        <w:pStyle w:val="Heading7"/>
        <w:lvlText w:val="(%7)"/>
        <w:lvlJc w:val="left"/>
        <w:pPr>
          <w:tabs>
            <w:tab w:val="num" w:pos="5040"/>
          </w:tabs>
          <w:ind w:left="5040" w:hanging="720"/>
        </w:pPr>
        <w:rPr>
          <w:rFonts w:hint="default"/>
        </w:rPr>
      </w:lvl>
    </w:lvlOverride>
    <w:lvlOverride w:ilvl="7">
      <w:startOverride w:val="1"/>
      <w:lvl w:ilvl="7">
        <w:start w:val="1"/>
        <w:numFmt w:val="lowerLetter"/>
        <w:pStyle w:val="Heading8"/>
        <w:lvlText w:val="(%8)"/>
        <w:lvlJc w:val="left"/>
        <w:pPr>
          <w:tabs>
            <w:tab w:val="num" w:pos="5760"/>
          </w:tabs>
          <w:ind w:left="5760" w:hanging="720"/>
        </w:pPr>
        <w:rPr>
          <w:rFonts w:hint="default"/>
        </w:rPr>
      </w:lvl>
    </w:lvlOverride>
    <w:lvlOverride w:ilvl="8">
      <w:startOverride w:val="1"/>
      <w:lvl w:ilvl="8">
        <w:start w:val="1"/>
        <w:numFmt w:val="lowerRoman"/>
        <w:pStyle w:val="Heading9"/>
        <w:lvlText w:val="(%9)"/>
        <w:lvlJc w:val="left"/>
        <w:pPr>
          <w:tabs>
            <w:tab w:val="num" w:pos="6480"/>
          </w:tabs>
          <w:ind w:left="6480" w:hanging="720"/>
        </w:pPr>
        <w:rPr>
          <w:rFonts w:hint="default"/>
        </w:rPr>
      </w:lvl>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 w:ilvl="0">
        <w:start w:val="1"/>
        <w:numFmt w:val="upperRoman"/>
        <w:pStyle w:val="Heading1"/>
        <w:lvlText w:val="%1."/>
        <w:lvlJc w:val="left"/>
        <w:pPr>
          <w:tabs>
            <w:tab w:val="num" w:pos="720"/>
          </w:tabs>
          <w:ind w:left="720" w:hanging="720"/>
        </w:pPr>
        <w:rPr>
          <w:rFonts w:asciiTheme="majorHAnsi" w:hAnsiTheme="majorHAnsi" w:cs="Times New Roman" w:hint="default"/>
          <w:b/>
          <w:sz w:val="28"/>
        </w:rPr>
      </w:lvl>
    </w:lvlOverride>
    <w:lvlOverride w:ilvl="1">
      <w:startOverride w:val="1"/>
      <w:lvl w:ilvl="1">
        <w:start w:val="1"/>
        <w:numFmt w:val="upperLetter"/>
        <w:pStyle w:val="Heading2"/>
        <w:lvlText w:val="%2."/>
        <w:lvlJc w:val="left"/>
        <w:pPr>
          <w:tabs>
            <w:tab w:val="num" w:pos="1440"/>
          </w:tabs>
          <w:ind w:left="1440" w:hanging="720"/>
        </w:pPr>
        <w:rPr>
          <w:sz w:val="28"/>
        </w:rPr>
      </w:lvl>
    </w:lvlOverride>
    <w:lvlOverride w:ilvl="2">
      <w:startOverride w:val="1"/>
      <w:lvl w:ilvl="2">
        <w:start w:val="1"/>
        <w:numFmt w:val="decimal"/>
        <w:pStyle w:val="Heading3"/>
        <w:lvlText w:val="%3."/>
        <w:lvlJc w:val="left"/>
        <w:pPr>
          <w:tabs>
            <w:tab w:val="num" w:pos="2160"/>
          </w:tabs>
          <w:ind w:left="2160" w:hanging="720"/>
        </w:pPr>
      </w:lvl>
    </w:lvlOverride>
    <w:lvlOverride w:ilvl="3">
      <w:startOverride w:val="1"/>
      <w:lvl w:ilvl="3">
        <w:start w:val="1"/>
        <w:numFmt w:val="decimal"/>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 w:ilvl="0">
        <w:start w:val="1"/>
        <w:numFmt w:val="upperRoman"/>
        <w:pStyle w:val="Heading1"/>
        <w:lvlText w:val="%1."/>
        <w:lvlJc w:val="left"/>
        <w:pPr>
          <w:tabs>
            <w:tab w:val="num" w:pos="720"/>
          </w:tabs>
          <w:ind w:left="720" w:hanging="720"/>
        </w:pPr>
        <w:rPr>
          <w:rFonts w:asciiTheme="majorHAnsi" w:hAnsiTheme="majorHAnsi" w:cs="Times New Roman" w:hint="default"/>
          <w:b/>
          <w:sz w:val="28"/>
        </w:rPr>
      </w:lvl>
    </w:lvlOverride>
    <w:lvlOverride w:ilvl="1">
      <w:startOverride w:val="1"/>
      <w:lvl w:ilvl="1">
        <w:start w:val="1"/>
        <w:numFmt w:val="upperLetter"/>
        <w:pStyle w:val="Heading2"/>
        <w:lvlText w:val="%2."/>
        <w:lvlJc w:val="left"/>
        <w:pPr>
          <w:tabs>
            <w:tab w:val="num" w:pos="1440"/>
          </w:tabs>
          <w:ind w:left="1440" w:hanging="720"/>
        </w:pPr>
        <w:rPr>
          <w:sz w:val="28"/>
        </w:rPr>
      </w:lvl>
    </w:lvlOverride>
    <w:lvlOverride w:ilvl="2">
      <w:startOverride w:val="1"/>
      <w:lvl w:ilvl="2">
        <w:start w:val="1"/>
        <w:numFmt w:val="decimal"/>
        <w:pStyle w:val="Heading3"/>
        <w:lvlText w:val="%3."/>
        <w:lvlJc w:val="left"/>
        <w:pPr>
          <w:tabs>
            <w:tab w:val="num" w:pos="2160"/>
          </w:tabs>
          <w:ind w:left="2160" w:hanging="720"/>
        </w:pPr>
      </w:lvl>
    </w:lvlOverride>
    <w:lvlOverride w:ilvl="3">
      <w:startOverride w:val="1"/>
      <w:lvl w:ilvl="3">
        <w:start w:val="1"/>
        <w:numFmt w:val="decimal"/>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42">
    <w:abstractNumId w:val="23"/>
    <w:lvlOverride w:ilvl="0">
      <w:startOverride w:val="1"/>
      <w:lvl w:ilvl="0">
        <w:start w:val="1"/>
        <w:numFmt w:val="upperRoman"/>
        <w:pStyle w:val="Heading1"/>
        <w:lvlText w:val="%1."/>
        <w:lvlJc w:val="left"/>
        <w:pPr>
          <w:tabs>
            <w:tab w:val="num" w:pos="720"/>
          </w:tabs>
          <w:ind w:left="720" w:hanging="720"/>
        </w:pPr>
        <w:rPr>
          <w:rFonts w:asciiTheme="majorHAnsi" w:hAnsiTheme="majorHAnsi" w:cs="Times New Roman" w:hint="default"/>
          <w:b/>
          <w:sz w:val="28"/>
        </w:rPr>
      </w:lvl>
    </w:lvlOverride>
    <w:lvlOverride w:ilvl="1">
      <w:startOverride w:val="1"/>
      <w:lvl w:ilvl="1">
        <w:start w:val="1"/>
        <w:numFmt w:val="upperLetter"/>
        <w:pStyle w:val="Heading2"/>
        <w:lvlText w:val="%2."/>
        <w:lvlJc w:val="left"/>
        <w:pPr>
          <w:tabs>
            <w:tab w:val="num" w:pos="1440"/>
          </w:tabs>
          <w:ind w:left="1440" w:hanging="720"/>
        </w:pPr>
        <w:rPr>
          <w:sz w:val="28"/>
        </w:rPr>
      </w:lvl>
    </w:lvlOverride>
    <w:lvlOverride w:ilvl="2">
      <w:startOverride w:val="1"/>
      <w:lvl w:ilvl="2">
        <w:start w:val="1"/>
        <w:numFmt w:val="decimal"/>
        <w:pStyle w:val="Heading3"/>
        <w:lvlText w:val="%3."/>
        <w:lvlJc w:val="left"/>
        <w:pPr>
          <w:tabs>
            <w:tab w:val="num" w:pos="2160"/>
          </w:tabs>
          <w:ind w:left="2160" w:hanging="720"/>
        </w:pPr>
      </w:lvl>
    </w:lvlOverride>
    <w:lvlOverride w:ilvl="3">
      <w:startOverride w:val="1"/>
      <w:lvl w:ilvl="3">
        <w:start w:val="1"/>
        <w:numFmt w:val="decimal"/>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43">
    <w:abstractNumId w:val="23"/>
    <w:lvlOverride w:ilvl="0">
      <w:startOverride w:val="1"/>
      <w:lvl w:ilvl="0">
        <w:start w:val="1"/>
        <w:numFmt w:val="upperRoman"/>
        <w:pStyle w:val="Heading1"/>
        <w:lvlText w:val="%1."/>
        <w:lvlJc w:val="left"/>
        <w:pPr>
          <w:tabs>
            <w:tab w:val="num" w:pos="720"/>
          </w:tabs>
          <w:ind w:left="720" w:hanging="720"/>
        </w:pPr>
        <w:rPr>
          <w:rFonts w:asciiTheme="majorHAnsi" w:hAnsiTheme="majorHAnsi" w:hint="default"/>
          <w:b/>
          <w:sz w:val="28"/>
        </w:rPr>
      </w:lvl>
    </w:lvlOverride>
    <w:lvlOverride w:ilvl="1">
      <w:startOverride w:val="1"/>
      <w:lvl w:ilvl="1">
        <w:start w:val="1"/>
        <w:numFmt w:val="upperLetter"/>
        <w:pStyle w:val="Heading2"/>
        <w:lvlText w:val="%2."/>
        <w:lvlJc w:val="left"/>
        <w:pPr>
          <w:tabs>
            <w:tab w:val="num" w:pos="1440"/>
          </w:tabs>
          <w:ind w:left="1440" w:hanging="720"/>
        </w:pPr>
        <w:rPr>
          <w:rFonts w:hint="default"/>
          <w:sz w:val="28"/>
        </w:rPr>
      </w:lvl>
    </w:lvlOverride>
    <w:lvlOverride w:ilvl="2">
      <w:startOverride w:val="3"/>
      <w:lvl w:ilvl="2">
        <w:start w:val="3"/>
        <w:numFmt w:val="decimal"/>
        <w:pStyle w:val="Heading3"/>
        <w:lvlText w:val="%3."/>
        <w:lvlJc w:val="left"/>
        <w:pPr>
          <w:tabs>
            <w:tab w:val="num" w:pos="2160"/>
          </w:tabs>
          <w:ind w:left="2160" w:hanging="720"/>
        </w:pPr>
        <w:rPr>
          <w:rFonts w:hint="default"/>
        </w:rPr>
      </w:lvl>
    </w:lvlOverride>
  </w:num>
  <w:num w:numId="44">
    <w:abstractNumId w:val="23"/>
    <w:lvlOverride w:ilvl="0">
      <w:startOverride w:val="1"/>
      <w:lvl w:ilvl="0">
        <w:start w:val="1"/>
        <w:numFmt w:val="upperRoman"/>
        <w:pStyle w:val="Heading1"/>
        <w:lvlText w:val="%1."/>
        <w:lvlJc w:val="left"/>
        <w:pPr>
          <w:tabs>
            <w:tab w:val="num" w:pos="720"/>
          </w:tabs>
          <w:ind w:left="720" w:hanging="720"/>
        </w:pPr>
        <w:rPr>
          <w:rFonts w:asciiTheme="majorHAnsi" w:hAnsiTheme="majorHAnsi" w:cs="Times New Roman" w:hint="default"/>
          <w:b/>
          <w:sz w:val="28"/>
        </w:rPr>
      </w:lvl>
    </w:lvlOverride>
    <w:lvlOverride w:ilvl="1">
      <w:startOverride w:val="1"/>
      <w:lvl w:ilvl="1">
        <w:start w:val="1"/>
        <w:numFmt w:val="upperLetter"/>
        <w:pStyle w:val="Heading2"/>
        <w:lvlText w:val="%2."/>
        <w:lvlJc w:val="left"/>
        <w:pPr>
          <w:tabs>
            <w:tab w:val="num" w:pos="1440"/>
          </w:tabs>
          <w:ind w:left="1440" w:hanging="720"/>
        </w:pPr>
        <w:rPr>
          <w:sz w:val="28"/>
        </w:rPr>
      </w:lvl>
    </w:lvlOverride>
    <w:lvlOverride w:ilvl="2">
      <w:startOverride w:val="6"/>
      <w:lvl w:ilvl="2">
        <w:start w:val="6"/>
        <w:numFmt w:val="decimal"/>
        <w:pStyle w:val="Heading3"/>
        <w:lvlText w:val="%3."/>
        <w:lvlJc w:val="left"/>
        <w:pPr>
          <w:tabs>
            <w:tab w:val="num" w:pos="2160"/>
          </w:tabs>
          <w:ind w:left="2160" w:hanging="720"/>
        </w:pPr>
      </w:lvl>
    </w:lvlOverride>
  </w:num>
  <w:num w:numId="45">
    <w:abstractNumId w:val="23"/>
    <w:lvlOverride w:ilvl="0">
      <w:startOverride w:val="1"/>
      <w:lvl w:ilvl="0">
        <w:start w:val="1"/>
        <w:numFmt w:val="upperRoman"/>
        <w:pStyle w:val="Heading1"/>
        <w:lvlText w:val="%1."/>
        <w:lvlJc w:val="left"/>
        <w:pPr>
          <w:tabs>
            <w:tab w:val="num" w:pos="720"/>
          </w:tabs>
          <w:ind w:left="720" w:hanging="720"/>
        </w:pPr>
        <w:rPr>
          <w:rFonts w:asciiTheme="majorHAnsi" w:hAnsiTheme="majorHAnsi" w:hint="default"/>
          <w:sz w:val="24"/>
        </w:rPr>
      </w:lvl>
    </w:lvlOverride>
    <w:lvlOverride w:ilvl="1">
      <w:startOverride w:val="1"/>
      <w:lvl w:ilvl="1">
        <w:start w:val="1"/>
        <w:numFmt w:val="upperLetter"/>
        <w:pStyle w:val="Heading2"/>
        <w:lvlText w:val="%2."/>
        <w:lvlJc w:val="left"/>
        <w:pPr>
          <w:tabs>
            <w:tab w:val="num" w:pos="1440"/>
          </w:tabs>
          <w:ind w:left="1440" w:hanging="720"/>
        </w:pPr>
        <w:rPr>
          <w:rFonts w:hint="default"/>
        </w:rPr>
      </w:lvl>
    </w:lvlOverride>
    <w:lvlOverride w:ilvl="2">
      <w:startOverride w:val="1"/>
      <w:lvl w:ilvl="2">
        <w:start w:val="1"/>
        <w:numFmt w:val="decimal"/>
        <w:pStyle w:val="Heading3"/>
        <w:lvlText w:val="%3."/>
        <w:lvlJc w:val="left"/>
        <w:pPr>
          <w:tabs>
            <w:tab w:val="num" w:pos="2160"/>
          </w:tabs>
          <w:ind w:left="2160" w:hanging="720"/>
        </w:pPr>
        <w:rPr>
          <w:rFonts w:hint="default"/>
        </w:rPr>
      </w:lvl>
    </w:lvlOverride>
    <w:lvlOverride w:ilvl="3">
      <w:startOverride w:val="1"/>
      <w:lvl w:ilvl="3">
        <w:start w:val="1"/>
        <w:numFmt w:val="lowerLetter"/>
        <w:lvlText w:val="%4)"/>
        <w:lvlJc w:val="left"/>
        <w:pPr>
          <w:tabs>
            <w:tab w:val="num" w:pos="2880"/>
          </w:tabs>
          <w:ind w:left="2880" w:hanging="720"/>
        </w:pPr>
        <w:rPr>
          <w:rFonts w:hint="default"/>
        </w:rPr>
      </w:lvl>
    </w:lvlOverride>
    <w:lvlOverride w:ilvl="4">
      <w:startOverride w:val="1"/>
      <w:lvl w:ilvl="4">
        <w:start w:val="1"/>
        <w:numFmt w:val="decimal"/>
        <w:pStyle w:val="Heading5"/>
        <w:lvlText w:val="(%5)"/>
        <w:lvlJc w:val="left"/>
        <w:pPr>
          <w:tabs>
            <w:tab w:val="num" w:pos="3600"/>
          </w:tabs>
          <w:ind w:left="3600" w:hanging="720"/>
        </w:pPr>
        <w:rPr>
          <w:rFonts w:hint="default"/>
        </w:rPr>
      </w:lvl>
    </w:lvlOverride>
    <w:lvlOverride w:ilvl="5">
      <w:startOverride w:val="1"/>
      <w:lvl w:ilvl="5">
        <w:start w:val="1"/>
        <w:numFmt w:val="lowerLetter"/>
        <w:pStyle w:val="Heading6"/>
        <w:lvlText w:val="(%6)"/>
        <w:lvlJc w:val="left"/>
        <w:pPr>
          <w:tabs>
            <w:tab w:val="num" w:pos="4320"/>
          </w:tabs>
          <w:ind w:left="4320" w:hanging="720"/>
        </w:pPr>
        <w:rPr>
          <w:rFonts w:hint="default"/>
        </w:rPr>
      </w:lvl>
    </w:lvlOverride>
    <w:lvlOverride w:ilvl="6">
      <w:startOverride w:val="1"/>
      <w:lvl w:ilvl="6">
        <w:start w:val="1"/>
        <w:numFmt w:val="lowerRoman"/>
        <w:pStyle w:val="Heading7"/>
        <w:lvlText w:val="(%7)"/>
        <w:lvlJc w:val="left"/>
        <w:pPr>
          <w:tabs>
            <w:tab w:val="num" w:pos="5040"/>
          </w:tabs>
          <w:ind w:left="5040" w:hanging="720"/>
        </w:pPr>
        <w:rPr>
          <w:rFonts w:hint="default"/>
        </w:rPr>
      </w:lvl>
    </w:lvlOverride>
    <w:lvlOverride w:ilvl="7">
      <w:startOverride w:val="1"/>
      <w:lvl w:ilvl="7">
        <w:start w:val="1"/>
        <w:numFmt w:val="lowerLetter"/>
        <w:pStyle w:val="Heading8"/>
        <w:lvlText w:val="(%8)"/>
        <w:lvlJc w:val="left"/>
        <w:pPr>
          <w:tabs>
            <w:tab w:val="num" w:pos="5760"/>
          </w:tabs>
          <w:ind w:left="5760" w:hanging="720"/>
        </w:pPr>
        <w:rPr>
          <w:rFonts w:hint="default"/>
        </w:rPr>
      </w:lvl>
    </w:lvlOverride>
    <w:lvlOverride w:ilvl="8">
      <w:startOverride w:val="1"/>
      <w:lvl w:ilvl="8">
        <w:start w:val="1"/>
        <w:numFmt w:val="lowerRoman"/>
        <w:pStyle w:val="Heading9"/>
        <w:lvlText w:val="(%9)"/>
        <w:lvlJc w:val="left"/>
        <w:pPr>
          <w:tabs>
            <w:tab w:val="num" w:pos="6480"/>
          </w:tabs>
          <w:ind w:left="6480" w:hanging="720"/>
        </w:pPr>
        <w:rPr>
          <w:rFonts w:hint="default"/>
        </w:rPr>
      </w:lvl>
    </w:lvlOverride>
  </w:num>
  <w:num w:numId="46">
    <w:abstractNumId w:val="24"/>
  </w:num>
  <w:num w:numId="47">
    <w:abstractNumId w:val="29"/>
  </w:num>
  <w:num w:numId="48">
    <w:abstractNumId w:val="29"/>
    <w:lvlOverride w:ilvl="0">
      <w:startOverride w:val="1"/>
    </w:lvlOverride>
  </w:num>
  <w:num w:numId="49">
    <w:abstractNumId w:val="29"/>
    <w:lvlOverride w:ilvl="0">
      <w:startOverride w:val="1"/>
    </w:lvlOverride>
  </w:num>
  <w:num w:numId="50">
    <w:abstractNumId w:val="29"/>
    <w:lvlOverride w:ilvl="0">
      <w:startOverride w:val="1"/>
    </w:lvlOverride>
  </w:num>
  <w:num w:numId="51">
    <w:abstractNumId w:val="23"/>
  </w:num>
  <w:num w:numId="52">
    <w:abstractNumId w:val="19"/>
  </w:num>
  <w:num w:numId="53">
    <w:abstractNumId w:val="36"/>
  </w:num>
  <w:num w:numId="54">
    <w:abstractNumId w:val="38"/>
  </w:num>
  <w:num w:numId="55">
    <w:abstractNumId w:val="26"/>
  </w:num>
  <w:num w:numId="56">
    <w:abstractNumId w:val="29"/>
    <w:lvlOverride w:ilvl="0">
      <w:startOverride w:val="1"/>
    </w:lvlOverride>
  </w:num>
  <w:num w:numId="57">
    <w:abstractNumId w:val="29"/>
  </w:num>
  <w:num w:numId="58">
    <w:abstractNumId w:val="29"/>
  </w:num>
  <w:num w:numId="59">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9250A2"/>
    <w:rsid w:val="000047E1"/>
    <w:rsid w:val="00007EAE"/>
    <w:rsid w:val="00007F38"/>
    <w:rsid w:val="00016E93"/>
    <w:rsid w:val="00016EBA"/>
    <w:rsid w:val="00020B2A"/>
    <w:rsid w:val="000215AB"/>
    <w:rsid w:val="000222A3"/>
    <w:rsid w:val="000311A1"/>
    <w:rsid w:val="00031992"/>
    <w:rsid w:val="00034DF8"/>
    <w:rsid w:val="0004003D"/>
    <w:rsid w:val="00042DAE"/>
    <w:rsid w:val="000436BB"/>
    <w:rsid w:val="00045D44"/>
    <w:rsid w:val="00051324"/>
    <w:rsid w:val="000527FE"/>
    <w:rsid w:val="00054E3E"/>
    <w:rsid w:val="00055677"/>
    <w:rsid w:val="00060F34"/>
    <w:rsid w:val="00061593"/>
    <w:rsid w:val="00063909"/>
    <w:rsid w:val="00066037"/>
    <w:rsid w:val="00067A4E"/>
    <w:rsid w:val="00071A25"/>
    <w:rsid w:val="00072CA4"/>
    <w:rsid w:val="00072D7F"/>
    <w:rsid w:val="000731AE"/>
    <w:rsid w:val="00077D9A"/>
    <w:rsid w:val="00080D4C"/>
    <w:rsid w:val="00082CB2"/>
    <w:rsid w:val="00084B09"/>
    <w:rsid w:val="00090A9E"/>
    <w:rsid w:val="00091617"/>
    <w:rsid w:val="000938A9"/>
    <w:rsid w:val="00095800"/>
    <w:rsid w:val="000A115B"/>
    <w:rsid w:val="000A1942"/>
    <w:rsid w:val="000A339E"/>
    <w:rsid w:val="000A48AE"/>
    <w:rsid w:val="000A4913"/>
    <w:rsid w:val="000B2D1F"/>
    <w:rsid w:val="000B7053"/>
    <w:rsid w:val="000C2984"/>
    <w:rsid w:val="000C2E8A"/>
    <w:rsid w:val="000C400F"/>
    <w:rsid w:val="000C624C"/>
    <w:rsid w:val="000D715E"/>
    <w:rsid w:val="000D7791"/>
    <w:rsid w:val="000E1A04"/>
    <w:rsid w:val="000E1DC1"/>
    <w:rsid w:val="000E3F5E"/>
    <w:rsid w:val="000E4378"/>
    <w:rsid w:val="000E63CF"/>
    <w:rsid w:val="000F21B6"/>
    <w:rsid w:val="000F29D4"/>
    <w:rsid w:val="000F461A"/>
    <w:rsid w:val="00100710"/>
    <w:rsid w:val="001052D8"/>
    <w:rsid w:val="001055F6"/>
    <w:rsid w:val="0011106A"/>
    <w:rsid w:val="00112ADE"/>
    <w:rsid w:val="0011603B"/>
    <w:rsid w:val="0011670A"/>
    <w:rsid w:val="00122C0C"/>
    <w:rsid w:val="00127A14"/>
    <w:rsid w:val="001327ED"/>
    <w:rsid w:val="00142CB6"/>
    <w:rsid w:val="00145884"/>
    <w:rsid w:val="00146DBA"/>
    <w:rsid w:val="00152D74"/>
    <w:rsid w:val="001565F6"/>
    <w:rsid w:val="001600A0"/>
    <w:rsid w:val="001627D7"/>
    <w:rsid w:val="00170A5B"/>
    <w:rsid w:val="00172EEE"/>
    <w:rsid w:val="001774C0"/>
    <w:rsid w:val="00181F4D"/>
    <w:rsid w:val="00193268"/>
    <w:rsid w:val="00195064"/>
    <w:rsid w:val="00195558"/>
    <w:rsid w:val="001977D8"/>
    <w:rsid w:val="001A65D0"/>
    <w:rsid w:val="001B0B3F"/>
    <w:rsid w:val="001B11AD"/>
    <w:rsid w:val="001B162C"/>
    <w:rsid w:val="001B445B"/>
    <w:rsid w:val="001B4D24"/>
    <w:rsid w:val="001B4E31"/>
    <w:rsid w:val="001C3A57"/>
    <w:rsid w:val="001C6669"/>
    <w:rsid w:val="001C7D1A"/>
    <w:rsid w:val="001D2CCA"/>
    <w:rsid w:val="001D6B75"/>
    <w:rsid w:val="001E1DEA"/>
    <w:rsid w:val="001E318C"/>
    <w:rsid w:val="001E3FBE"/>
    <w:rsid w:val="001F2097"/>
    <w:rsid w:val="00206C8B"/>
    <w:rsid w:val="0021171D"/>
    <w:rsid w:val="00211CF9"/>
    <w:rsid w:val="00215F9C"/>
    <w:rsid w:val="00223831"/>
    <w:rsid w:val="00223DBD"/>
    <w:rsid w:val="00224EFA"/>
    <w:rsid w:val="00225B48"/>
    <w:rsid w:val="00233109"/>
    <w:rsid w:val="00233172"/>
    <w:rsid w:val="00247A3E"/>
    <w:rsid w:val="0027429E"/>
    <w:rsid w:val="00274927"/>
    <w:rsid w:val="0027761B"/>
    <w:rsid w:val="002879D0"/>
    <w:rsid w:val="002900A8"/>
    <w:rsid w:val="00292EE6"/>
    <w:rsid w:val="00293732"/>
    <w:rsid w:val="002938A2"/>
    <w:rsid w:val="00293E6D"/>
    <w:rsid w:val="00294801"/>
    <w:rsid w:val="002966D4"/>
    <w:rsid w:val="002A0BAF"/>
    <w:rsid w:val="002A6476"/>
    <w:rsid w:val="002B0442"/>
    <w:rsid w:val="002B3C14"/>
    <w:rsid w:val="002C12FC"/>
    <w:rsid w:val="002C2D0B"/>
    <w:rsid w:val="002C4172"/>
    <w:rsid w:val="002C4D01"/>
    <w:rsid w:val="002E19C0"/>
    <w:rsid w:val="002E64E3"/>
    <w:rsid w:val="002E7BA2"/>
    <w:rsid w:val="002E7C91"/>
    <w:rsid w:val="002F06CF"/>
    <w:rsid w:val="002F20C0"/>
    <w:rsid w:val="002F31D2"/>
    <w:rsid w:val="002F7740"/>
    <w:rsid w:val="00300AD2"/>
    <w:rsid w:val="0030289F"/>
    <w:rsid w:val="00305F27"/>
    <w:rsid w:val="00313763"/>
    <w:rsid w:val="00321CD4"/>
    <w:rsid w:val="00322ABC"/>
    <w:rsid w:val="00323119"/>
    <w:rsid w:val="003323F8"/>
    <w:rsid w:val="00334B6B"/>
    <w:rsid w:val="00336ED8"/>
    <w:rsid w:val="0033773C"/>
    <w:rsid w:val="0035176E"/>
    <w:rsid w:val="00360DC4"/>
    <w:rsid w:val="0036224F"/>
    <w:rsid w:val="00364C77"/>
    <w:rsid w:val="00365D61"/>
    <w:rsid w:val="00373DDD"/>
    <w:rsid w:val="0038017A"/>
    <w:rsid w:val="00380FBA"/>
    <w:rsid w:val="003830FE"/>
    <w:rsid w:val="0039234F"/>
    <w:rsid w:val="00396724"/>
    <w:rsid w:val="003A16F7"/>
    <w:rsid w:val="003A2523"/>
    <w:rsid w:val="003A2C94"/>
    <w:rsid w:val="003A3051"/>
    <w:rsid w:val="003A33E6"/>
    <w:rsid w:val="003B0A17"/>
    <w:rsid w:val="003C0C6D"/>
    <w:rsid w:val="003C3564"/>
    <w:rsid w:val="003F4DB5"/>
    <w:rsid w:val="00413750"/>
    <w:rsid w:val="00417F63"/>
    <w:rsid w:val="004220A4"/>
    <w:rsid w:val="00425B72"/>
    <w:rsid w:val="0043046C"/>
    <w:rsid w:val="00433CD1"/>
    <w:rsid w:val="004352C5"/>
    <w:rsid w:val="00436168"/>
    <w:rsid w:val="0043647F"/>
    <w:rsid w:val="00444C75"/>
    <w:rsid w:val="00446BD9"/>
    <w:rsid w:val="00453ABA"/>
    <w:rsid w:val="00454001"/>
    <w:rsid w:val="0045644B"/>
    <w:rsid w:val="004630E6"/>
    <w:rsid w:val="00464E53"/>
    <w:rsid w:val="0047098F"/>
    <w:rsid w:val="00473072"/>
    <w:rsid w:val="00474EE5"/>
    <w:rsid w:val="0047559C"/>
    <w:rsid w:val="004757C2"/>
    <w:rsid w:val="00476AA8"/>
    <w:rsid w:val="0048125A"/>
    <w:rsid w:val="00481727"/>
    <w:rsid w:val="0048532F"/>
    <w:rsid w:val="00491718"/>
    <w:rsid w:val="00493DA1"/>
    <w:rsid w:val="00496429"/>
    <w:rsid w:val="004976BF"/>
    <w:rsid w:val="004A09D9"/>
    <w:rsid w:val="004A3FCB"/>
    <w:rsid w:val="004A51BC"/>
    <w:rsid w:val="004B2F56"/>
    <w:rsid w:val="004B35E7"/>
    <w:rsid w:val="004C4911"/>
    <w:rsid w:val="004C5845"/>
    <w:rsid w:val="004C62E5"/>
    <w:rsid w:val="004D2D24"/>
    <w:rsid w:val="004F2E49"/>
    <w:rsid w:val="004F3C33"/>
    <w:rsid w:val="005000DB"/>
    <w:rsid w:val="00500C39"/>
    <w:rsid w:val="00502FCC"/>
    <w:rsid w:val="0050553E"/>
    <w:rsid w:val="005062F9"/>
    <w:rsid w:val="00512E0B"/>
    <w:rsid w:val="00513560"/>
    <w:rsid w:val="005234AD"/>
    <w:rsid w:val="00526031"/>
    <w:rsid w:val="0052756D"/>
    <w:rsid w:val="00527D65"/>
    <w:rsid w:val="00531023"/>
    <w:rsid w:val="00533DCC"/>
    <w:rsid w:val="00534C4C"/>
    <w:rsid w:val="005354CC"/>
    <w:rsid w:val="005365A1"/>
    <w:rsid w:val="00540739"/>
    <w:rsid w:val="00544A08"/>
    <w:rsid w:val="00544E66"/>
    <w:rsid w:val="00553019"/>
    <w:rsid w:val="0055422B"/>
    <w:rsid w:val="00556D5C"/>
    <w:rsid w:val="00561F14"/>
    <w:rsid w:val="0056369A"/>
    <w:rsid w:val="005674A2"/>
    <w:rsid w:val="00574BA9"/>
    <w:rsid w:val="00575C41"/>
    <w:rsid w:val="00582BF0"/>
    <w:rsid w:val="005867A8"/>
    <w:rsid w:val="00590125"/>
    <w:rsid w:val="005A0FC6"/>
    <w:rsid w:val="005A3F8E"/>
    <w:rsid w:val="005A4B04"/>
    <w:rsid w:val="005A532C"/>
    <w:rsid w:val="005B0C9C"/>
    <w:rsid w:val="005C187F"/>
    <w:rsid w:val="005C28BC"/>
    <w:rsid w:val="005C702A"/>
    <w:rsid w:val="005D078B"/>
    <w:rsid w:val="005D0E5F"/>
    <w:rsid w:val="005D1BEE"/>
    <w:rsid w:val="005D497C"/>
    <w:rsid w:val="005D52BA"/>
    <w:rsid w:val="005E24D0"/>
    <w:rsid w:val="005F1567"/>
    <w:rsid w:val="005F6C95"/>
    <w:rsid w:val="00601C8A"/>
    <w:rsid w:val="00611439"/>
    <w:rsid w:val="00613A56"/>
    <w:rsid w:val="00613A7D"/>
    <w:rsid w:val="006157D0"/>
    <w:rsid w:val="00621C9A"/>
    <w:rsid w:val="006230FC"/>
    <w:rsid w:val="00626EBA"/>
    <w:rsid w:val="00630E26"/>
    <w:rsid w:val="00631565"/>
    <w:rsid w:val="0064135A"/>
    <w:rsid w:val="00641FC2"/>
    <w:rsid w:val="006510BC"/>
    <w:rsid w:val="006545B5"/>
    <w:rsid w:val="006602FB"/>
    <w:rsid w:val="006665C0"/>
    <w:rsid w:val="00676161"/>
    <w:rsid w:val="00677FBF"/>
    <w:rsid w:val="0068034B"/>
    <w:rsid w:val="006826E0"/>
    <w:rsid w:val="00685A84"/>
    <w:rsid w:val="00686C0F"/>
    <w:rsid w:val="00694982"/>
    <w:rsid w:val="006A02BD"/>
    <w:rsid w:val="006A09E2"/>
    <w:rsid w:val="006A652E"/>
    <w:rsid w:val="006A7B61"/>
    <w:rsid w:val="006B59F3"/>
    <w:rsid w:val="006B65BC"/>
    <w:rsid w:val="006B78C2"/>
    <w:rsid w:val="006C1517"/>
    <w:rsid w:val="006C187A"/>
    <w:rsid w:val="006C196F"/>
    <w:rsid w:val="006C1B45"/>
    <w:rsid w:val="006D172E"/>
    <w:rsid w:val="006F1B74"/>
    <w:rsid w:val="006F6225"/>
    <w:rsid w:val="00700DCE"/>
    <w:rsid w:val="007035F4"/>
    <w:rsid w:val="00706F8F"/>
    <w:rsid w:val="00710F4A"/>
    <w:rsid w:val="00714DA1"/>
    <w:rsid w:val="00717B90"/>
    <w:rsid w:val="007248A8"/>
    <w:rsid w:val="00731B95"/>
    <w:rsid w:val="0073465D"/>
    <w:rsid w:val="007350CB"/>
    <w:rsid w:val="007371EF"/>
    <w:rsid w:val="00737D17"/>
    <w:rsid w:val="00750C7D"/>
    <w:rsid w:val="00753C38"/>
    <w:rsid w:val="0075403F"/>
    <w:rsid w:val="00755626"/>
    <w:rsid w:val="0075639F"/>
    <w:rsid w:val="007679BF"/>
    <w:rsid w:val="007724E9"/>
    <w:rsid w:val="00773115"/>
    <w:rsid w:val="00773679"/>
    <w:rsid w:val="00774571"/>
    <w:rsid w:val="00784C2D"/>
    <w:rsid w:val="00785832"/>
    <w:rsid w:val="00790738"/>
    <w:rsid w:val="00794038"/>
    <w:rsid w:val="00795CA5"/>
    <w:rsid w:val="007A0A48"/>
    <w:rsid w:val="007A11BF"/>
    <w:rsid w:val="007A42EA"/>
    <w:rsid w:val="007A4579"/>
    <w:rsid w:val="007A6FCC"/>
    <w:rsid w:val="007B2C06"/>
    <w:rsid w:val="007B32B2"/>
    <w:rsid w:val="007B4752"/>
    <w:rsid w:val="007C3884"/>
    <w:rsid w:val="007D3618"/>
    <w:rsid w:val="007D3D8C"/>
    <w:rsid w:val="007D4667"/>
    <w:rsid w:val="007D7BA0"/>
    <w:rsid w:val="007E73D8"/>
    <w:rsid w:val="007F6B09"/>
    <w:rsid w:val="00800088"/>
    <w:rsid w:val="0080089A"/>
    <w:rsid w:val="0080446B"/>
    <w:rsid w:val="00811950"/>
    <w:rsid w:val="00811AFB"/>
    <w:rsid w:val="00824421"/>
    <w:rsid w:val="00825D22"/>
    <w:rsid w:val="00827CDE"/>
    <w:rsid w:val="0083209A"/>
    <w:rsid w:val="00834CFF"/>
    <w:rsid w:val="00835D14"/>
    <w:rsid w:val="00841D3C"/>
    <w:rsid w:val="00842043"/>
    <w:rsid w:val="008425DF"/>
    <w:rsid w:val="00843A59"/>
    <w:rsid w:val="00843EDC"/>
    <w:rsid w:val="008450AB"/>
    <w:rsid w:val="008456A7"/>
    <w:rsid w:val="008545AF"/>
    <w:rsid w:val="00857894"/>
    <w:rsid w:val="00860090"/>
    <w:rsid w:val="0086194E"/>
    <w:rsid w:val="00862F33"/>
    <w:rsid w:val="008642A7"/>
    <w:rsid w:val="0086799B"/>
    <w:rsid w:val="00867A61"/>
    <w:rsid w:val="0087109C"/>
    <w:rsid w:val="0087164A"/>
    <w:rsid w:val="00872A48"/>
    <w:rsid w:val="0087373B"/>
    <w:rsid w:val="00875853"/>
    <w:rsid w:val="00875C70"/>
    <w:rsid w:val="00881275"/>
    <w:rsid w:val="0088675C"/>
    <w:rsid w:val="008A2CF2"/>
    <w:rsid w:val="008A33A4"/>
    <w:rsid w:val="008A3E20"/>
    <w:rsid w:val="008B10FF"/>
    <w:rsid w:val="008B1D66"/>
    <w:rsid w:val="008B53C7"/>
    <w:rsid w:val="008B5978"/>
    <w:rsid w:val="008B75DE"/>
    <w:rsid w:val="008C0D2A"/>
    <w:rsid w:val="008C1936"/>
    <w:rsid w:val="008C225E"/>
    <w:rsid w:val="008D0F7D"/>
    <w:rsid w:val="008D2A67"/>
    <w:rsid w:val="008D3EDB"/>
    <w:rsid w:val="008D606A"/>
    <w:rsid w:val="008E0FB0"/>
    <w:rsid w:val="008E45A8"/>
    <w:rsid w:val="008E7F91"/>
    <w:rsid w:val="008F3371"/>
    <w:rsid w:val="008F68A7"/>
    <w:rsid w:val="009003EB"/>
    <w:rsid w:val="009043F6"/>
    <w:rsid w:val="00914621"/>
    <w:rsid w:val="00915969"/>
    <w:rsid w:val="009171E7"/>
    <w:rsid w:val="009205D8"/>
    <w:rsid w:val="009246AD"/>
    <w:rsid w:val="009250A2"/>
    <w:rsid w:val="009309F5"/>
    <w:rsid w:val="00931E5D"/>
    <w:rsid w:val="009401CE"/>
    <w:rsid w:val="009404E6"/>
    <w:rsid w:val="00941E64"/>
    <w:rsid w:val="009425F4"/>
    <w:rsid w:val="00947196"/>
    <w:rsid w:val="009478A6"/>
    <w:rsid w:val="0095230F"/>
    <w:rsid w:val="00956D28"/>
    <w:rsid w:val="00960099"/>
    <w:rsid w:val="0096068D"/>
    <w:rsid w:val="00960871"/>
    <w:rsid w:val="009657E8"/>
    <w:rsid w:val="00975555"/>
    <w:rsid w:val="00981FF9"/>
    <w:rsid w:val="00983ABB"/>
    <w:rsid w:val="00984D46"/>
    <w:rsid w:val="0098563C"/>
    <w:rsid w:val="00987339"/>
    <w:rsid w:val="00993D95"/>
    <w:rsid w:val="00994BF4"/>
    <w:rsid w:val="009A0315"/>
    <w:rsid w:val="009A3473"/>
    <w:rsid w:val="009A5602"/>
    <w:rsid w:val="009A63DD"/>
    <w:rsid w:val="009A6BAD"/>
    <w:rsid w:val="009A766A"/>
    <w:rsid w:val="009B0429"/>
    <w:rsid w:val="009B13F2"/>
    <w:rsid w:val="009C2330"/>
    <w:rsid w:val="009C41DA"/>
    <w:rsid w:val="009C7F7C"/>
    <w:rsid w:val="009D1DE5"/>
    <w:rsid w:val="009D2319"/>
    <w:rsid w:val="009D6C07"/>
    <w:rsid w:val="009E0691"/>
    <w:rsid w:val="009E167F"/>
    <w:rsid w:val="009E7BD6"/>
    <w:rsid w:val="009F353D"/>
    <w:rsid w:val="009F59E6"/>
    <w:rsid w:val="00A04B82"/>
    <w:rsid w:val="00A10E3B"/>
    <w:rsid w:val="00A1441C"/>
    <w:rsid w:val="00A22F12"/>
    <w:rsid w:val="00A257F4"/>
    <w:rsid w:val="00A27B56"/>
    <w:rsid w:val="00A30FD4"/>
    <w:rsid w:val="00A31EB4"/>
    <w:rsid w:val="00A361C4"/>
    <w:rsid w:val="00A4016D"/>
    <w:rsid w:val="00A503F0"/>
    <w:rsid w:val="00A52447"/>
    <w:rsid w:val="00A560E1"/>
    <w:rsid w:val="00A604C0"/>
    <w:rsid w:val="00A71B80"/>
    <w:rsid w:val="00A72C41"/>
    <w:rsid w:val="00A75B9B"/>
    <w:rsid w:val="00A775EF"/>
    <w:rsid w:val="00A77CBE"/>
    <w:rsid w:val="00A82E48"/>
    <w:rsid w:val="00A83E1F"/>
    <w:rsid w:val="00A84C1A"/>
    <w:rsid w:val="00A84FD9"/>
    <w:rsid w:val="00A90702"/>
    <w:rsid w:val="00A91289"/>
    <w:rsid w:val="00A934EB"/>
    <w:rsid w:val="00AA0152"/>
    <w:rsid w:val="00AA1058"/>
    <w:rsid w:val="00AB2F85"/>
    <w:rsid w:val="00AC0B51"/>
    <w:rsid w:val="00AD15E3"/>
    <w:rsid w:val="00AD576C"/>
    <w:rsid w:val="00AE37F8"/>
    <w:rsid w:val="00AE4A77"/>
    <w:rsid w:val="00AF09F9"/>
    <w:rsid w:val="00AF4326"/>
    <w:rsid w:val="00B048E2"/>
    <w:rsid w:val="00B07A06"/>
    <w:rsid w:val="00B11FF8"/>
    <w:rsid w:val="00B14007"/>
    <w:rsid w:val="00B148BD"/>
    <w:rsid w:val="00B1514D"/>
    <w:rsid w:val="00B2364F"/>
    <w:rsid w:val="00B275D2"/>
    <w:rsid w:val="00B33084"/>
    <w:rsid w:val="00B3314C"/>
    <w:rsid w:val="00B36D52"/>
    <w:rsid w:val="00B501F9"/>
    <w:rsid w:val="00B510F0"/>
    <w:rsid w:val="00B51459"/>
    <w:rsid w:val="00B62994"/>
    <w:rsid w:val="00B637C5"/>
    <w:rsid w:val="00B64083"/>
    <w:rsid w:val="00B71A2C"/>
    <w:rsid w:val="00B801E0"/>
    <w:rsid w:val="00B81B90"/>
    <w:rsid w:val="00B8273B"/>
    <w:rsid w:val="00B82E1A"/>
    <w:rsid w:val="00B8596C"/>
    <w:rsid w:val="00B87F1E"/>
    <w:rsid w:val="00B93E92"/>
    <w:rsid w:val="00B9651E"/>
    <w:rsid w:val="00BA19C0"/>
    <w:rsid w:val="00BA1E5F"/>
    <w:rsid w:val="00BA44A1"/>
    <w:rsid w:val="00BB3699"/>
    <w:rsid w:val="00BD3DB9"/>
    <w:rsid w:val="00BD56EA"/>
    <w:rsid w:val="00BD6294"/>
    <w:rsid w:val="00BD71A9"/>
    <w:rsid w:val="00BE1385"/>
    <w:rsid w:val="00BE29EB"/>
    <w:rsid w:val="00BE2DB8"/>
    <w:rsid w:val="00BE4944"/>
    <w:rsid w:val="00BF1331"/>
    <w:rsid w:val="00BF3FB1"/>
    <w:rsid w:val="00C00669"/>
    <w:rsid w:val="00C007B4"/>
    <w:rsid w:val="00C077EB"/>
    <w:rsid w:val="00C12975"/>
    <w:rsid w:val="00C17235"/>
    <w:rsid w:val="00C174AA"/>
    <w:rsid w:val="00C22048"/>
    <w:rsid w:val="00C22183"/>
    <w:rsid w:val="00C2321F"/>
    <w:rsid w:val="00C23CCC"/>
    <w:rsid w:val="00C24885"/>
    <w:rsid w:val="00C2720B"/>
    <w:rsid w:val="00C34725"/>
    <w:rsid w:val="00C34E64"/>
    <w:rsid w:val="00C3658B"/>
    <w:rsid w:val="00C36896"/>
    <w:rsid w:val="00C413B8"/>
    <w:rsid w:val="00C51D68"/>
    <w:rsid w:val="00C542E0"/>
    <w:rsid w:val="00C55093"/>
    <w:rsid w:val="00C633B4"/>
    <w:rsid w:val="00C641B3"/>
    <w:rsid w:val="00C74F0E"/>
    <w:rsid w:val="00C80907"/>
    <w:rsid w:val="00C8367D"/>
    <w:rsid w:val="00C84AC7"/>
    <w:rsid w:val="00C85142"/>
    <w:rsid w:val="00C856BF"/>
    <w:rsid w:val="00C85B7B"/>
    <w:rsid w:val="00C90414"/>
    <w:rsid w:val="00C94BEE"/>
    <w:rsid w:val="00C96CDA"/>
    <w:rsid w:val="00CA5FF9"/>
    <w:rsid w:val="00CA739B"/>
    <w:rsid w:val="00CB65DA"/>
    <w:rsid w:val="00CC0D42"/>
    <w:rsid w:val="00CC1845"/>
    <w:rsid w:val="00CC2F84"/>
    <w:rsid w:val="00CC4BC4"/>
    <w:rsid w:val="00CC548F"/>
    <w:rsid w:val="00CD4697"/>
    <w:rsid w:val="00CE077C"/>
    <w:rsid w:val="00CE2080"/>
    <w:rsid w:val="00CE32B8"/>
    <w:rsid w:val="00CE4430"/>
    <w:rsid w:val="00CE53CC"/>
    <w:rsid w:val="00CE62FD"/>
    <w:rsid w:val="00CE7B43"/>
    <w:rsid w:val="00CF0816"/>
    <w:rsid w:val="00CF23E9"/>
    <w:rsid w:val="00CF362D"/>
    <w:rsid w:val="00CF46BE"/>
    <w:rsid w:val="00CF73ED"/>
    <w:rsid w:val="00CF7A1E"/>
    <w:rsid w:val="00D0141F"/>
    <w:rsid w:val="00D02B85"/>
    <w:rsid w:val="00D0641E"/>
    <w:rsid w:val="00D157A5"/>
    <w:rsid w:val="00D22E7D"/>
    <w:rsid w:val="00D30830"/>
    <w:rsid w:val="00D372BA"/>
    <w:rsid w:val="00D4197D"/>
    <w:rsid w:val="00D4703A"/>
    <w:rsid w:val="00D53AFA"/>
    <w:rsid w:val="00D54586"/>
    <w:rsid w:val="00D558C2"/>
    <w:rsid w:val="00D56AAA"/>
    <w:rsid w:val="00D616F7"/>
    <w:rsid w:val="00D6494C"/>
    <w:rsid w:val="00D73083"/>
    <w:rsid w:val="00D75BDF"/>
    <w:rsid w:val="00D77629"/>
    <w:rsid w:val="00D77E8A"/>
    <w:rsid w:val="00D82358"/>
    <w:rsid w:val="00D84954"/>
    <w:rsid w:val="00D858F5"/>
    <w:rsid w:val="00D861C7"/>
    <w:rsid w:val="00D91014"/>
    <w:rsid w:val="00D9461B"/>
    <w:rsid w:val="00D97EE3"/>
    <w:rsid w:val="00DA1824"/>
    <w:rsid w:val="00DA317D"/>
    <w:rsid w:val="00DA4F92"/>
    <w:rsid w:val="00DA729B"/>
    <w:rsid w:val="00DB45C4"/>
    <w:rsid w:val="00DB4EA4"/>
    <w:rsid w:val="00DB52B1"/>
    <w:rsid w:val="00DB7473"/>
    <w:rsid w:val="00DC0004"/>
    <w:rsid w:val="00DC0185"/>
    <w:rsid w:val="00DC04F1"/>
    <w:rsid w:val="00DC6D28"/>
    <w:rsid w:val="00DD0F30"/>
    <w:rsid w:val="00DD102F"/>
    <w:rsid w:val="00DD720F"/>
    <w:rsid w:val="00DE0E7C"/>
    <w:rsid w:val="00DF2476"/>
    <w:rsid w:val="00DF5873"/>
    <w:rsid w:val="00DF6405"/>
    <w:rsid w:val="00E04539"/>
    <w:rsid w:val="00E05ABD"/>
    <w:rsid w:val="00E122E3"/>
    <w:rsid w:val="00E242E0"/>
    <w:rsid w:val="00E27EAD"/>
    <w:rsid w:val="00E31D4B"/>
    <w:rsid w:val="00E45857"/>
    <w:rsid w:val="00E46B2B"/>
    <w:rsid w:val="00E518CB"/>
    <w:rsid w:val="00E5313D"/>
    <w:rsid w:val="00E549F4"/>
    <w:rsid w:val="00E55C2E"/>
    <w:rsid w:val="00E639A2"/>
    <w:rsid w:val="00E64512"/>
    <w:rsid w:val="00E65438"/>
    <w:rsid w:val="00E74DDE"/>
    <w:rsid w:val="00E83B13"/>
    <w:rsid w:val="00E904E9"/>
    <w:rsid w:val="00EA01F8"/>
    <w:rsid w:val="00EA68AC"/>
    <w:rsid w:val="00EA6AAF"/>
    <w:rsid w:val="00EB0896"/>
    <w:rsid w:val="00EB202A"/>
    <w:rsid w:val="00EB6B93"/>
    <w:rsid w:val="00EC1AE0"/>
    <w:rsid w:val="00EC1F0D"/>
    <w:rsid w:val="00EC2DB6"/>
    <w:rsid w:val="00EC3037"/>
    <w:rsid w:val="00EC35A6"/>
    <w:rsid w:val="00EC5A94"/>
    <w:rsid w:val="00EC618A"/>
    <w:rsid w:val="00EC64CC"/>
    <w:rsid w:val="00EC6FF5"/>
    <w:rsid w:val="00EC70E8"/>
    <w:rsid w:val="00ED1BF2"/>
    <w:rsid w:val="00ED4331"/>
    <w:rsid w:val="00ED46EE"/>
    <w:rsid w:val="00ED6E5C"/>
    <w:rsid w:val="00ED7876"/>
    <w:rsid w:val="00ED7ECA"/>
    <w:rsid w:val="00EE080F"/>
    <w:rsid w:val="00EE12CD"/>
    <w:rsid w:val="00EE2C84"/>
    <w:rsid w:val="00EF5A4F"/>
    <w:rsid w:val="00F02226"/>
    <w:rsid w:val="00F028E0"/>
    <w:rsid w:val="00F02EC6"/>
    <w:rsid w:val="00F03154"/>
    <w:rsid w:val="00F038E0"/>
    <w:rsid w:val="00F04D6E"/>
    <w:rsid w:val="00F120E7"/>
    <w:rsid w:val="00F129E7"/>
    <w:rsid w:val="00F24145"/>
    <w:rsid w:val="00F318E8"/>
    <w:rsid w:val="00F36F6B"/>
    <w:rsid w:val="00F432B9"/>
    <w:rsid w:val="00F43935"/>
    <w:rsid w:val="00F43C70"/>
    <w:rsid w:val="00F43DB3"/>
    <w:rsid w:val="00F44174"/>
    <w:rsid w:val="00F47E92"/>
    <w:rsid w:val="00F508C4"/>
    <w:rsid w:val="00F60169"/>
    <w:rsid w:val="00F631CB"/>
    <w:rsid w:val="00F66BC6"/>
    <w:rsid w:val="00F76F07"/>
    <w:rsid w:val="00F813E7"/>
    <w:rsid w:val="00F822C5"/>
    <w:rsid w:val="00F82563"/>
    <w:rsid w:val="00F8660E"/>
    <w:rsid w:val="00F87A37"/>
    <w:rsid w:val="00F978DA"/>
    <w:rsid w:val="00FA55CB"/>
    <w:rsid w:val="00FA7796"/>
    <w:rsid w:val="00FB0318"/>
    <w:rsid w:val="00FB3071"/>
    <w:rsid w:val="00FB4788"/>
    <w:rsid w:val="00FC0E8F"/>
    <w:rsid w:val="00FC3A77"/>
    <w:rsid w:val="00FC4789"/>
    <w:rsid w:val="00FC47C1"/>
    <w:rsid w:val="00FC5250"/>
    <w:rsid w:val="00FC6081"/>
    <w:rsid w:val="00FC7481"/>
    <w:rsid w:val="00FE2882"/>
    <w:rsid w:val="00FE3CE0"/>
    <w:rsid w:val="00FE4753"/>
    <w:rsid w:val="00FE61B3"/>
    <w:rsid w:val="00FF0536"/>
    <w:rsid w:val="00FF3741"/>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4636300"/>
  <w15:docId w15:val="{3D4A3BAF-975B-491E-99C2-8AFDC64E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6" w:unhideWhenUsed="1" w:qFormat="1"/>
    <w:lsdException w:name="List Number" w:semiHidden="1" w:uiPriority="7" w:unhideWhenUsed="1" w:qFormat="1"/>
    <w:lsdException w:name="List 2" w:semiHidden="1" w:uiPriority="5" w:unhideWhenUsed="1" w:qFormat="1"/>
    <w:lsdException w:name="List 3" w:semiHidden="1" w:uiPriority="5" w:unhideWhenUsed="1"/>
    <w:lsdException w:name="List 4" w:semiHidden="1" w:uiPriority="5" w:unhideWhenUsed="1"/>
    <w:lsdException w:name="List 5" w:semiHidden="1" w:uiPriority="5" w:unhideWhenUsed="1"/>
    <w:lsdException w:name="List Bullet 2" w:semiHidden="1" w:uiPriority="6" w:unhideWhenUsed="1" w:qFormat="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8" w:unhideWhenUsed="1" w:qFormat="1"/>
    <w:lsdException w:name="List Continue 2" w:semiHidden="1" w:uiPriority="8" w:unhideWhenUsed="1" w:qFormat="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1C7D1A"/>
    <w:pPr>
      <w:spacing w:after="0" w:line="240" w:lineRule="auto"/>
    </w:pPr>
    <w:rPr>
      <w:color w:val="000000" w:themeColor="text1"/>
      <w:sz w:val="24"/>
      <w:szCs w:val="24"/>
    </w:rPr>
  </w:style>
  <w:style w:type="paragraph" w:styleId="Heading1">
    <w:name w:val="heading 1"/>
    <w:basedOn w:val="Normal"/>
    <w:link w:val="Heading1Char"/>
    <w:uiPriority w:val="4"/>
    <w:qFormat/>
    <w:rsid w:val="004352C5"/>
    <w:pPr>
      <w:numPr>
        <w:numId w:val="26"/>
      </w:numPr>
      <w:spacing w:after="240"/>
      <w:outlineLvl w:val="0"/>
    </w:pPr>
    <w:rPr>
      <w:rFonts w:asciiTheme="majorHAnsi" w:eastAsiaTheme="majorEastAsia" w:hAnsiTheme="majorHAnsi" w:cstheme="majorBidi"/>
      <w:bCs/>
      <w:szCs w:val="28"/>
    </w:rPr>
  </w:style>
  <w:style w:type="paragraph" w:styleId="Heading2">
    <w:name w:val="heading 2"/>
    <w:basedOn w:val="Normal"/>
    <w:link w:val="Heading2Char"/>
    <w:uiPriority w:val="4"/>
    <w:qFormat/>
    <w:rsid w:val="001C7D1A"/>
    <w:pPr>
      <w:numPr>
        <w:ilvl w:val="1"/>
        <w:numId w:val="26"/>
      </w:numPr>
      <w:spacing w:after="240"/>
      <w:outlineLvl w:val="1"/>
    </w:pPr>
    <w:rPr>
      <w:rFonts w:asciiTheme="majorHAnsi" w:eastAsiaTheme="majorEastAsia" w:hAnsiTheme="majorHAnsi" w:cstheme="majorBidi"/>
      <w:b/>
      <w:bCs/>
      <w:szCs w:val="26"/>
    </w:rPr>
  </w:style>
  <w:style w:type="paragraph" w:styleId="Heading3">
    <w:name w:val="heading 3"/>
    <w:basedOn w:val="Normal"/>
    <w:link w:val="Heading3Char"/>
    <w:autoRedefine/>
    <w:uiPriority w:val="4"/>
    <w:qFormat/>
    <w:rsid w:val="00B14007"/>
    <w:pPr>
      <w:keepNext/>
      <w:numPr>
        <w:ilvl w:val="2"/>
        <w:numId w:val="35"/>
      </w:numPr>
      <w:spacing w:after="240"/>
      <w:outlineLvl w:val="2"/>
    </w:pPr>
    <w:rPr>
      <w:rFonts w:eastAsiaTheme="majorEastAsia" w:cstheme="minorHAnsi"/>
      <w:b/>
      <w:bCs/>
    </w:rPr>
  </w:style>
  <w:style w:type="paragraph" w:styleId="Heading4">
    <w:name w:val="heading 4"/>
    <w:basedOn w:val="Normal"/>
    <w:link w:val="Heading4Char"/>
    <w:uiPriority w:val="4"/>
    <w:qFormat/>
    <w:rsid w:val="00054E3E"/>
    <w:pPr>
      <w:numPr>
        <w:numId w:val="47"/>
      </w:numPr>
      <w:spacing w:after="240"/>
      <w:outlineLvl w:val="3"/>
    </w:pPr>
    <w:rPr>
      <w:rFonts w:asciiTheme="majorHAnsi" w:eastAsiaTheme="majorEastAsia" w:hAnsiTheme="majorHAnsi" w:cstheme="majorBidi"/>
      <w:b/>
      <w:bCs/>
      <w:iCs/>
    </w:rPr>
  </w:style>
  <w:style w:type="paragraph" w:styleId="Heading5">
    <w:name w:val="heading 5"/>
    <w:basedOn w:val="Normal"/>
    <w:link w:val="Heading5Char"/>
    <w:uiPriority w:val="4"/>
    <w:qFormat/>
    <w:rsid w:val="004352C5"/>
    <w:pPr>
      <w:numPr>
        <w:ilvl w:val="4"/>
        <w:numId w:val="26"/>
      </w:numPr>
      <w:spacing w:after="240"/>
      <w:outlineLvl w:val="4"/>
    </w:pPr>
    <w:rPr>
      <w:rFonts w:asciiTheme="majorHAnsi" w:eastAsiaTheme="majorEastAsia" w:hAnsiTheme="majorHAnsi" w:cstheme="majorBidi"/>
    </w:rPr>
  </w:style>
  <w:style w:type="paragraph" w:styleId="Heading6">
    <w:name w:val="heading 6"/>
    <w:basedOn w:val="Normal"/>
    <w:link w:val="Heading6Char"/>
    <w:uiPriority w:val="4"/>
    <w:qFormat/>
    <w:rsid w:val="004352C5"/>
    <w:pPr>
      <w:numPr>
        <w:ilvl w:val="5"/>
        <w:numId w:val="26"/>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4352C5"/>
    <w:pPr>
      <w:numPr>
        <w:ilvl w:val="6"/>
        <w:numId w:val="26"/>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4352C5"/>
    <w:pPr>
      <w:numPr>
        <w:ilvl w:val="7"/>
        <w:numId w:val="26"/>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4352C5"/>
    <w:pPr>
      <w:numPr>
        <w:ilvl w:val="8"/>
        <w:numId w:val="26"/>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A8"/>
    <w:rPr>
      <w:rFonts w:ascii="Segoe UI" w:hAnsi="Segoe UI" w:cs="Segoe UI"/>
      <w:sz w:val="18"/>
      <w:szCs w:val="18"/>
    </w:rPr>
  </w:style>
  <w:style w:type="paragraph" w:styleId="ListParagraph">
    <w:name w:val="List Paragraph"/>
    <w:basedOn w:val="Normal"/>
    <w:uiPriority w:val="34"/>
    <w:qFormat/>
    <w:rsid w:val="001774C0"/>
    <w:pPr>
      <w:spacing w:line="256" w:lineRule="auto"/>
      <w:ind w:left="720"/>
      <w:contextualSpacing/>
    </w:pPr>
  </w:style>
  <w:style w:type="character" w:styleId="Hyperlink">
    <w:name w:val="Hyperlink"/>
    <w:basedOn w:val="DefaultParagraphFont"/>
    <w:uiPriority w:val="99"/>
    <w:unhideWhenUsed/>
    <w:rsid w:val="00FC7481"/>
    <w:rPr>
      <w:color w:val="0000FF"/>
      <w:u w:val="single"/>
    </w:rPr>
  </w:style>
  <w:style w:type="paragraph" w:styleId="FootnoteText">
    <w:name w:val="footnote text"/>
    <w:basedOn w:val="Normal"/>
    <w:link w:val="FootnoteTextChar"/>
    <w:uiPriority w:val="99"/>
    <w:unhideWhenUsed/>
    <w:rsid w:val="004352C5"/>
    <w:pPr>
      <w:spacing w:after="120" w:line="260" w:lineRule="exact"/>
    </w:pPr>
    <w:rPr>
      <w:szCs w:val="20"/>
    </w:rPr>
  </w:style>
  <w:style w:type="character" w:customStyle="1" w:styleId="FootnoteTextChar">
    <w:name w:val="Footnote Text Char"/>
    <w:basedOn w:val="DefaultParagraphFont"/>
    <w:link w:val="FootnoteText"/>
    <w:uiPriority w:val="99"/>
    <w:rsid w:val="004352C5"/>
    <w:rPr>
      <w:color w:val="000000" w:themeColor="text1"/>
      <w:sz w:val="24"/>
      <w:szCs w:val="20"/>
    </w:rPr>
  </w:style>
  <w:style w:type="character" w:styleId="FootnoteReference">
    <w:name w:val="footnote reference"/>
    <w:basedOn w:val="DefaultParagraphFont"/>
    <w:uiPriority w:val="99"/>
    <w:semiHidden/>
    <w:unhideWhenUsed/>
    <w:rsid w:val="004352C5"/>
    <w:rPr>
      <w:vertAlign w:val="superscript"/>
    </w:rPr>
  </w:style>
  <w:style w:type="paragraph" w:styleId="Header">
    <w:name w:val="header"/>
    <w:basedOn w:val="Normal"/>
    <w:link w:val="HeaderChar"/>
    <w:uiPriority w:val="99"/>
    <w:semiHidden/>
    <w:rsid w:val="004352C5"/>
    <w:pPr>
      <w:tabs>
        <w:tab w:val="center" w:pos="4680"/>
        <w:tab w:val="right" w:pos="9360"/>
      </w:tabs>
    </w:pPr>
  </w:style>
  <w:style w:type="character" w:customStyle="1" w:styleId="HeaderChar">
    <w:name w:val="Header Char"/>
    <w:basedOn w:val="DefaultParagraphFont"/>
    <w:link w:val="Header"/>
    <w:uiPriority w:val="99"/>
    <w:semiHidden/>
    <w:rsid w:val="004352C5"/>
    <w:rPr>
      <w:color w:val="000000" w:themeColor="text1"/>
      <w:sz w:val="24"/>
      <w:szCs w:val="24"/>
    </w:rPr>
  </w:style>
  <w:style w:type="paragraph" w:styleId="Footer">
    <w:name w:val="footer"/>
    <w:basedOn w:val="Normal"/>
    <w:link w:val="FooterChar"/>
    <w:uiPriority w:val="99"/>
    <w:rsid w:val="004352C5"/>
    <w:pPr>
      <w:tabs>
        <w:tab w:val="center" w:pos="4680"/>
        <w:tab w:val="right" w:pos="9360"/>
      </w:tabs>
    </w:pPr>
  </w:style>
  <w:style w:type="character" w:customStyle="1" w:styleId="FooterChar">
    <w:name w:val="Footer Char"/>
    <w:basedOn w:val="DefaultParagraphFont"/>
    <w:link w:val="Footer"/>
    <w:uiPriority w:val="99"/>
    <w:rsid w:val="004352C5"/>
    <w:rPr>
      <w:color w:val="000000" w:themeColor="text1"/>
      <w:sz w:val="24"/>
      <w:szCs w:val="24"/>
    </w:rPr>
  </w:style>
  <w:style w:type="paragraph" w:styleId="Revision">
    <w:name w:val="Revision"/>
    <w:hidden/>
    <w:uiPriority w:val="99"/>
    <w:semiHidden/>
    <w:rsid w:val="00533DCC"/>
    <w:pPr>
      <w:spacing w:after="0" w:line="240" w:lineRule="auto"/>
    </w:pPr>
  </w:style>
  <w:style w:type="character" w:styleId="CommentReference">
    <w:name w:val="annotation reference"/>
    <w:basedOn w:val="DefaultParagraphFont"/>
    <w:uiPriority w:val="99"/>
    <w:semiHidden/>
    <w:unhideWhenUsed/>
    <w:rsid w:val="00223831"/>
    <w:rPr>
      <w:sz w:val="16"/>
      <w:szCs w:val="16"/>
    </w:rPr>
  </w:style>
  <w:style w:type="paragraph" w:styleId="CommentText">
    <w:name w:val="annotation text"/>
    <w:basedOn w:val="Normal"/>
    <w:link w:val="CommentTextChar"/>
    <w:uiPriority w:val="99"/>
    <w:semiHidden/>
    <w:unhideWhenUsed/>
    <w:rsid w:val="00223831"/>
    <w:rPr>
      <w:sz w:val="20"/>
      <w:szCs w:val="20"/>
    </w:rPr>
  </w:style>
  <w:style w:type="character" w:customStyle="1" w:styleId="CommentTextChar">
    <w:name w:val="Comment Text Char"/>
    <w:basedOn w:val="DefaultParagraphFont"/>
    <w:link w:val="CommentText"/>
    <w:uiPriority w:val="99"/>
    <w:semiHidden/>
    <w:rsid w:val="00223831"/>
    <w:rPr>
      <w:sz w:val="20"/>
      <w:szCs w:val="20"/>
    </w:rPr>
  </w:style>
  <w:style w:type="paragraph" w:styleId="CommentSubject">
    <w:name w:val="annotation subject"/>
    <w:basedOn w:val="CommentText"/>
    <w:next w:val="CommentText"/>
    <w:link w:val="CommentSubjectChar"/>
    <w:uiPriority w:val="99"/>
    <w:semiHidden/>
    <w:unhideWhenUsed/>
    <w:rsid w:val="00223831"/>
    <w:rPr>
      <w:b/>
      <w:bCs/>
    </w:rPr>
  </w:style>
  <w:style w:type="character" w:customStyle="1" w:styleId="CommentSubjectChar">
    <w:name w:val="Comment Subject Char"/>
    <w:basedOn w:val="CommentTextChar"/>
    <w:link w:val="CommentSubject"/>
    <w:uiPriority w:val="99"/>
    <w:semiHidden/>
    <w:rsid w:val="00223831"/>
    <w:rPr>
      <w:b/>
      <w:bCs/>
      <w:sz w:val="20"/>
      <w:szCs w:val="20"/>
    </w:rPr>
  </w:style>
  <w:style w:type="paragraph" w:customStyle="1" w:styleId="Default">
    <w:name w:val="Default"/>
    <w:rsid w:val="00446B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4"/>
    <w:rsid w:val="004352C5"/>
    <w:rPr>
      <w:rFonts w:asciiTheme="majorHAnsi" w:eastAsiaTheme="majorEastAsia" w:hAnsiTheme="majorHAnsi" w:cstheme="majorBidi"/>
      <w:bCs/>
      <w:color w:val="000000" w:themeColor="text1"/>
      <w:sz w:val="24"/>
      <w:szCs w:val="28"/>
    </w:rPr>
  </w:style>
  <w:style w:type="character" w:customStyle="1" w:styleId="Heading2Char">
    <w:name w:val="Heading 2 Char"/>
    <w:basedOn w:val="DefaultParagraphFont"/>
    <w:link w:val="Heading2"/>
    <w:uiPriority w:val="4"/>
    <w:rsid w:val="001C7D1A"/>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4"/>
    <w:rsid w:val="00B14007"/>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4"/>
    <w:rsid w:val="00054E3E"/>
    <w:rPr>
      <w:rFonts w:asciiTheme="majorHAnsi" w:eastAsiaTheme="majorEastAsia" w:hAnsiTheme="majorHAnsi" w:cstheme="majorBidi"/>
      <w:b/>
      <w:bCs/>
      <w:iCs/>
      <w:color w:val="000000" w:themeColor="text1"/>
      <w:sz w:val="24"/>
      <w:szCs w:val="24"/>
    </w:rPr>
  </w:style>
  <w:style w:type="character" w:customStyle="1" w:styleId="Heading5Char">
    <w:name w:val="Heading 5 Char"/>
    <w:basedOn w:val="DefaultParagraphFont"/>
    <w:link w:val="Heading5"/>
    <w:uiPriority w:val="4"/>
    <w:rsid w:val="004352C5"/>
    <w:rPr>
      <w:rFonts w:asciiTheme="majorHAnsi" w:eastAsiaTheme="majorEastAsia" w:hAnsiTheme="majorHAnsi" w:cstheme="majorBidi"/>
      <w:color w:val="000000" w:themeColor="text1"/>
      <w:sz w:val="24"/>
      <w:szCs w:val="24"/>
    </w:rPr>
  </w:style>
  <w:style w:type="character" w:customStyle="1" w:styleId="Heading6Char">
    <w:name w:val="Heading 6 Char"/>
    <w:basedOn w:val="DefaultParagraphFont"/>
    <w:link w:val="Heading6"/>
    <w:uiPriority w:val="4"/>
    <w:rsid w:val="004352C5"/>
    <w:rPr>
      <w:rFonts w:asciiTheme="majorHAnsi" w:eastAsiaTheme="majorEastAsia" w:hAnsiTheme="majorHAnsi" w:cstheme="majorBidi"/>
      <w:iCs/>
      <w:color w:val="000000" w:themeColor="text1"/>
      <w:sz w:val="24"/>
      <w:szCs w:val="24"/>
    </w:rPr>
  </w:style>
  <w:style w:type="character" w:customStyle="1" w:styleId="Heading7Char">
    <w:name w:val="Heading 7 Char"/>
    <w:basedOn w:val="DefaultParagraphFont"/>
    <w:link w:val="Heading7"/>
    <w:uiPriority w:val="4"/>
    <w:rsid w:val="004352C5"/>
    <w:rPr>
      <w:rFonts w:asciiTheme="majorHAnsi" w:eastAsiaTheme="majorEastAsia" w:hAnsiTheme="majorHAnsi" w:cstheme="majorBidi"/>
      <w:iCs/>
      <w:color w:val="000000" w:themeColor="text1"/>
      <w:sz w:val="24"/>
      <w:szCs w:val="24"/>
    </w:rPr>
  </w:style>
  <w:style w:type="character" w:customStyle="1" w:styleId="Heading8Char">
    <w:name w:val="Heading 8 Char"/>
    <w:basedOn w:val="DefaultParagraphFont"/>
    <w:link w:val="Heading8"/>
    <w:uiPriority w:val="4"/>
    <w:rsid w:val="004352C5"/>
    <w:rPr>
      <w:rFonts w:asciiTheme="majorHAnsi" w:eastAsiaTheme="majorEastAsia" w:hAnsiTheme="majorHAnsi" w:cstheme="majorBidi"/>
      <w:color w:val="000000" w:themeColor="text1"/>
      <w:sz w:val="24"/>
      <w:szCs w:val="20"/>
    </w:rPr>
  </w:style>
  <w:style w:type="character" w:customStyle="1" w:styleId="Heading9Char">
    <w:name w:val="Heading 9 Char"/>
    <w:basedOn w:val="DefaultParagraphFont"/>
    <w:link w:val="Heading9"/>
    <w:uiPriority w:val="4"/>
    <w:rsid w:val="004352C5"/>
    <w:rPr>
      <w:rFonts w:asciiTheme="majorHAnsi" w:eastAsiaTheme="majorEastAsia" w:hAnsiTheme="majorHAnsi" w:cstheme="majorBidi"/>
      <w:iCs/>
      <w:color w:val="000000" w:themeColor="text1"/>
      <w:sz w:val="24"/>
      <w:szCs w:val="20"/>
    </w:rPr>
  </w:style>
  <w:style w:type="paragraph" w:styleId="BodyText">
    <w:name w:val="Body Text"/>
    <w:basedOn w:val="Normal"/>
    <w:link w:val="BodyTextChar"/>
    <w:qFormat/>
    <w:rsid w:val="001C7D1A"/>
    <w:pPr>
      <w:spacing w:after="240"/>
      <w:ind w:firstLine="720"/>
      <w:jc w:val="both"/>
    </w:pPr>
    <w:rPr>
      <w:rFonts w:ascii="Times New Roman" w:hAnsi="Times New Roman" w:cs="Times New Roman"/>
      <w:szCs w:val="28"/>
    </w:rPr>
  </w:style>
  <w:style w:type="character" w:customStyle="1" w:styleId="BodyTextChar">
    <w:name w:val="Body Text Char"/>
    <w:basedOn w:val="DefaultParagraphFont"/>
    <w:link w:val="BodyText"/>
    <w:rsid w:val="001C7D1A"/>
    <w:rPr>
      <w:rFonts w:ascii="Times New Roman" w:hAnsi="Times New Roman" w:cs="Times New Roman"/>
      <w:color w:val="000000" w:themeColor="text1"/>
      <w:sz w:val="24"/>
      <w:szCs w:val="28"/>
    </w:rPr>
  </w:style>
  <w:style w:type="paragraph" w:styleId="BodyText2">
    <w:name w:val="Body Text 2"/>
    <w:basedOn w:val="BodyText"/>
    <w:link w:val="BodyText2Char"/>
    <w:uiPriority w:val="99"/>
    <w:rsid w:val="004352C5"/>
    <w:pPr>
      <w:spacing w:after="0" w:line="480" w:lineRule="auto"/>
    </w:pPr>
  </w:style>
  <w:style w:type="character" w:customStyle="1" w:styleId="BodyText2Char">
    <w:name w:val="Body Text 2 Char"/>
    <w:basedOn w:val="DefaultParagraphFont"/>
    <w:link w:val="BodyText2"/>
    <w:uiPriority w:val="99"/>
    <w:rsid w:val="004352C5"/>
    <w:rPr>
      <w:color w:val="000000" w:themeColor="text1"/>
      <w:sz w:val="24"/>
      <w:szCs w:val="24"/>
    </w:rPr>
  </w:style>
  <w:style w:type="paragraph" w:styleId="BodyTextFirstIndent">
    <w:name w:val="Body Text First Indent"/>
    <w:basedOn w:val="BodyText"/>
    <w:link w:val="BodyTextFirstIndentChar"/>
    <w:qFormat/>
    <w:rsid w:val="004352C5"/>
    <w:pPr>
      <w:ind w:firstLine="1440"/>
    </w:pPr>
  </w:style>
  <w:style w:type="character" w:customStyle="1" w:styleId="BodyTextFirstIndentChar">
    <w:name w:val="Body Text First Indent Char"/>
    <w:basedOn w:val="BodyTextChar"/>
    <w:link w:val="BodyTextFirstIndent"/>
    <w:rsid w:val="004352C5"/>
    <w:rPr>
      <w:rFonts w:ascii="Times New Roman" w:hAnsi="Times New Roman" w:cs="Times New Roman"/>
      <w:color w:val="000000" w:themeColor="text1"/>
      <w:sz w:val="24"/>
      <w:szCs w:val="24"/>
    </w:rPr>
  </w:style>
  <w:style w:type="paragraph" w:styleId="BodyTextIndent">
    <w:name w:val="Body Text Indent"/>
    <w:basedOn w:val="BodyText"/>
    <w:link w:val="BodyTextIndentChar"/>
    <w:rsid w:val="004352C5"/>
    <w:pPr>
      <w:ind w:left="1440"/>
    </w:pPr>
  </w:style>
  <w:style w:type="character" w:customStyle="1" w:styleId="BodyTextIndentChar">
    <w:name w:val="Body Text Indent Char"/>
    <w:basedOn w:val="DefaultParagraphFont"/>
    <w:link w:val="BodyTextIndent"/>
    <w:rsid w:val="004352C5"/>
    <w:rPr>
      <w:color w:val="000000" w:themeColor="text1"/>
      <w:sz w:val="24"/>
      <w:szCs w:val="24"/>
    </w:rPr>
  </w:style>
  <w:style w:type="paragraph" w:styleId="BodyTextFirstIndent2">
    <w:name w:val="Body Text First Indent 2"/>
    <w:basedOn w:val="BodyTextFirstIndent"/>
    <w:link w:val="BodyTextFirstIndent2Char"/>
    <w:rsid w:val="004352C5"/>
    <w:pPr>
      <w:spacing w:after="0" w:line="480" w:lineRule="auto"/>
    </w:pPr>
  </w:style>
  <w:style w:type="character" w:customStyle="1" w:styleId="BodyTextFirstIndent2Char">
    <w:name w:val="Body Text First Indent 2 Char"/>
    <w:basedOn w:val="BodyTextIndentChar"/>
    <w:link w:val="BodyTextFirstIndent2"/>
    <w:rsid w:val="004352C5"/>
    <w:rPr>
      <w:color w:val="000000" w:themeColor="text1"/>
      <w:sz w:val="24"/>
      <w:szCs w:val="24"/>
    </w:rPr>
  </w:style>
  <w:style w:type="paragraph" w:styleId="BodyTextIndent2">
    <w:name w:val="Body Text Indent 2"/>
    <w:basedOn w:val="BodyTextIndent"/>
    <w:link w:val="BodyTextIndent2Char"/>
    <w:rsid w:val="004352C5"/>
    <w:pPr>
      <w:spacing w:after="0" w:line="480" w:lineRule="auto"/>
    </w:pPr>
  </w:style>
  <w:style w:type="character" w:customStyle="1" w:styleId="BodyTextIndent2Char">
    <w:name w:val="Body Text Indent 2 Char"/>
    <w:basedOn w:val="DefaultParagraphFont"/>
    <w:link w:val="BodyTextIndent2"/>
    <w:rsid w:val="004352C5"/>
    <w:rPr>
      <w:color w:val="000000" w:themeColor="text1"/>
      <w:sz w:val="24"/>
      <w:szCs w:val="24"/>
    </w:rPr>
  </w:style>
  <w:style w:type="paragraph" w:customStyle="1" w:styleId="BodyTextHalfIndent">
    <w:name w:val="Body Text Half Indent"/>
    <w:basedOn w:val="BodyText"/>
    <w:link w:val="BodyTextHalfIndentChar"/>
    <w:rsid w:val="004352C5"/>
    <w:pPr>
      <w:ind w:left="720"/>
    </w:pPr>
  </w:style>
  <w:style w:type="paragraph" w:customStyle="1" w:styleId="BodyTextHalfIndent2">
    <w:name w:val="Body Text Half Indent 2"/>
    <w:basedOn w:val="BodyTextHalfIndent"/>
    <w:link w:val="BodyTextHalfIndent2Char"/>
    <w:rsid w:val="004352C5"/>
    <w:pPr>
      <w:spacing w:after="0" w:line="480" w:lineRule="auto"/>
    </w:pPr>
  </w:style>
  <w:style w:type="character" w:customStyle="1" w:styleId="BodyTextHalfIndentChar">
    <w:name w:val="Body Text Half Indent Char"/>
    <w:basedOn w:val="BodyTextChar"/>
    <w:link w:val="BodyTextHalfIndent"/>
    <w:rsid w:val="004352C5"/>
    <w:rPr>
      <w:rFonts w:ascii="Times New Roman" w:hAnsi="Times New Roman" w:cs="Times New Roman"/>
      <w:color w:val="000000" w:themeColor="text1"/>
      <w:sz w:val="24"/>
      <w:szCs w:val="24"/>
    </w:rPr>
  </w:style>
  <w:style w:type="paragraph" w:customStyle="1" w:styleId="BodyTextFirstHalfIndent">
    <w:name w:val="Body Text First Half Indent"/>
    <w:basedOn w:val="BodyText"/>
    <w:link w:val="BodyTextFirstHalfIndentChar"/>
    <w:rsid w:val="004352C5"/>
  </w:style>
  <w:style w:type="character" w:customStyle="1" w:styleId="BodyTextHalfIndent2Char">
    <w:name w:val="Body Text Half Indent 2 Char"/>
    <w:basedOn w:val="BodyTextHalfIndentChar"/>
    <w:link w:val="BodyTextHalfIndent2"/>
    <w:rsid w:val="004352C5"/>
    <w:rPr>
      <w:rFonts w:ascii="Times New Roman" w:hAnsi="Times New Roman" w:cs="Times New Roman"/>
      <w:color w:val="000000" w:themeColor="text1"/>
      <w:sz w:val="24"/>
      <w:szCs w:val="24"/>
    </w:rPr>
  </w:style>
  <w:style w:type="paragraph" w:customStyle="1" w:styleId="BodyTextFirstHalfIndent2">
    <w:name w:val="Body Text First Half Indent 2"/>
    <w:basedOn w:val="BodyTextFirstHalfIndent"/>
    <w:link w:val="BodyTextFirstHalfIndent2Char"/>
    <w:rsid w:val="004352C5"/>
    <w:pPr>
      <w:spacing w:after="0" w:line="480" w:lineRule="auto"/>
    </w:pPr>
  </w:style>
  <w:style w:type="character" w:customStyle="1" w:styleId="BodyTextFirstHalfIndentChar">
    <w:name w:val="Body Text First Half Indent Char"/>
    <w:basedOn w:val="BodyTextChar"/>
    <w:link w:val="BodyTextFirstHalfIndent"/>
    <w:rsid w:val="004352C5"/>
    <w:rPr>
      <w:rFonts w:ascii="Times New Roman" w:hAnsi="Times New Roman" w:cs="Times New Roman"/>
      <w:color w:val="000000" w:themeColor="text1"/>
      <w:sz w:val="24"/>
      <w:szCs w:val="24"/>
    </w:rPr>
  </w:style>
  <w:style w:type="paragraph" w:styleId="EnvelopeAddress">
    <w:name w:val="envelope address"/>
    <w:basedOn w:val="Normal"/>
    <w:uiPriority w:val="99"/>
    <w:semiHidden/>
    <w:unhideWhenUsed/>
    <w:rsid w:val="004352C5"/>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4352C5"/>
    <w:rPr>
      <w:rFonts w:ascii="Times New Roman" w:hAnsi="Times New Roman" w:cs="Times New Roman"/>
      <w:color w:val="000000" w:themeColor="text1"/>
      <w:sz w:val="24"/>
      <w:szCs w:val="24"/>
    </w:rPr>
  </w:style>
  <w:style w:type="paragraph" w:styleId="EnvelopeReturn">
    <w:name w:val="envelope return"/>
    <w:basedOn w:val="Normal"/>
    <w:uiPriority w:val="99"/>
    <w:semiHidden/>
    <w:unhideWhenUsed/>
    <w:rsid w:val="004352C5"/>
    <w:rPr>
      <w:rFonts w:eastAsiaTheme="majorEastAsia" w:cstheme="majorBidi"/>
      <w:sz w:val="20"/>
      <w:szCs w:val="20"/>
    </w:rPr>
  </w:style>
  <w:style w:type="paragraph" w:styleId="NormalIndent">
    <w:name w:val="Normal Indent"/>
    <w:basedOn w:val="Normal"/>
    <w:uiPriority w:val="99"/>
    <w:semiHidden/>
    <w:unhideWhenUsed/>
    <w:rsid w:val="004352C5"/>
    <w:pPr>
      <w:ind w:left="1440"/>
    </w:pPr>
  </w:style>
  <w:style w:type="paragraph" w:customStyle="1" w:styleId="NormalHalfIndent">
    <w:name w:val="Normal Half Indent"/>
    <w:basedOn w:val="Normal"/>
    <w:semiHidden/>
    <w:rsid w:val="004352C5"/>
    <w:pPr>
      <w:ind w:left="720"/>
    </w:pPr>
  </w:style>
  <w:style w:type="paragraph" w:styleId="Salutation">
    <w:name w:val="Salutation"/>
    <w:basedOn w:val="Normal"/>
    <w:next w:val="Normal"/>
    <w:link w:val="SalutationChar"/>
    <w:uiPriority w:val="99"/>
    <w:semiHidden/>
    <w:unhideWhenUsed/>
    <w:rsid w:val="004352C5"/>
    <w:pPr>
      <w:spacing w:after="240"/>
    </w:pPr>
  </w:style>
  <w:style w:type="character" w:customStyle="1" w:styleId="SalutationChar">
    <w:name w:val="Salutation Char"/>
    <w:basedOn w:val="DefaultParagraphFont"/>
    <w:link w:val="Salutation"/>
    <w:uiPriority w:val="99"/>
    <w:semiHidden/>
    <w:rsid w:val="004352C5"/>
    <w:rPr>
      <w:color w:val="000000" w:themeColor="text1"/>
      <w:sz w:val="24"/>
      <w:szCs w:val="24"/>
    </w:rPr>
  </w:style>
  <w:style w:type="paragraph" w:styleId="Title">
    <w:name w:val="Title"/>
    <w:basedOn w:val="Normal"/>
    <w:next w:val="Normal"/>
    <w:link w:val="TitleChar"/>
    <w:uiPriority w:val="10"/>
    <w:qFormat/>
    <w:rsid w:val="004352C5"/>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4352C5"/>
    <w:rPr>
      <w:rFonts w:asciiTheme="majorHAnsi" w:eastAsiaTheme="majorEastAsia" w:hAnsiTheme="majorHAnsi" w:cstheme="majorBidi"/>
      <w:b/>
      <w:color w:val="000000" w:themeColor="text1"/>
      <w:sz w:val="24"/>
      <w:szCs w:val="52"/>
    </w:rPr>
  </w:style>
  <w:style w:type="paragraph" w:styleId="BlockText">
    <w:name w:val="Block Text"/>
    <w:basedOn w:val="Normal"/>
    <w:link w:val="BlockTextChar"/>
    <w:uiPriority w:val="2"/>
    <w:qFormat/>
    <w:rsid w:val="004352C5"/>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4352C5"/>
    <w:rPr>
      <w:szCs w:val="20"/>
    </w:rPr>
  </w:style>
  <w:style w:type="character" w:customStyle="1" w:styleId="EndnoteTextChar">
    <w:name w:val="Endnote Text Char"/>
    <w:basedOn w:val="DefaultParagraphFont"/>
    <w:link w:val="EndnoteText"/>
    <w:uiPriority w:val="99"/>
    <w:semiHidden/>
    <w:rsid w:val="004352C5"/>
    <w:rPr>
      <w:color w:val="000000" w:themeColor="text1"/>
      <w:sz w:val="24"/>
      <w:szCs w:val="20"/>
    </w:rPr>
  </w:style>
  <w:style w:type="numbering" w:customStyle="1" w:styleId="CovingtonHeadings">
    <w:name w:val="Covington Headings"/>
    <w:uiPriority w:val="99"/>
    <w:rsid w:val="004352C5"/>
    <w:pPr>
      <w:numPr>
        <w:numId w:val="35"/>
      </w:numPr>
    </w:pPr>
  </w:style>
  <w:style w:type="paragraph" w:styleId="Subtitle">
    <w:name w:val="Subtitle"/>
    <w:basedOn w:val="Normal"/>
    <w:next w:val="Normal"/>
    <w:link w:val="SubtitleChar"/>
    <w:uiPriority w:val="11"/>
    <w:qFormat/>
    <w:rsid w:val="004352C5"/>
    <w:pPr>
      <w:numPr>
        <w:ilvl w:val="1"/>
      </w:numPr>
      <w:spacing w:after="240"/>
      <w:outlineLvl w:val="1"/>
    </w:pPr>
    <w:rPr>
      <w:rFonts w:asciiTheme="majorHAnsi" w:eastAsiaTheme="majorEastAsia" w:hAnsiTheme="majorHAnsi" w:cstheme="majorBidi"/>
      <w:iCs/>
      <w:u w:val="single"/>
    </w:rPr>
  </w:style>
  <w:style w:type="character" w:customStyle="1" w:styleId="SubtitleChar">
    <w:name w:val="Subtitle Char"/>
    <w:basedOn w:val="DefaultParagraphFont"/>
    <w:link w:val="Subtitle"/>
    <w:uiPriority w:val="11"/>
    <w:rsid w:val="004352C5"/>
    <w:rPr>
      <w:rFonts w:asciiTheme="majorHAnsi" w:eastAsiaTheme="majorEastAsia" w:hAnsiTheme="majorHAnsi" w:cstheme="majorBidi"/>
      <w:iCs/>
      <w:color w:val="000000" w:themeColor="text1"/>
      <w:sz w:val="24"/>
      <w:szCs w:val="24"/>
      <w:u w:val="single"/>
    </w:rPr>
  </w:style>
  <w:style w:type="paragraph" w:customStyle="1" w:styleId="SubtitleCentered">
    <w:name w:val="Subtitle Centered"/>
    <w:basedOn w:val="Subtitle"/>
    <w:link w:val="SubtitleCenteredChar"/>
    <w:uiPriority w:val="11"/>
    <w:qFormat/>
    <w:rsid w:val="004352C5"/>
    <w:pPr>
      <w:jc w:val="center"/>
    </w:pPr>
  </w:style>
  <w:style w:type="numbering" w:customStyle="1" w:styleId="ListBullets">
    <w:name w:val="ListBullets"/>
    <w:uiPriority w:val="99"/>
    <w:rsid w:val="004352C5"/>
    <w:pPr>
      <w:numPr>
        <w:numId w:val="27"/>
      </w:numPr>
    </w:pPr>
  </w:style>
  <w:style w:type="numbering" w:customStyle="1" w:styleId="ListNumbers">
    <w:name w:val="ListNumbers"/>
    <w:uiPriority w:val="99"/>
    <w:rsid w:val="004352C5"/>
    <w:pPr>
      <w:numPr>
        <w:numId w:val="28"/>
      </w:numPr>
    </w:pPr>
  </w:style>
  <w:style w:type="paragraph" w:styleId="ListBullet">
    <w:name w:val="List Bullet"/>
    <w:basedOn w:val="Normal"/>
    <w:uiPriority w:val="6"/>
    <w:qFormat/>
    <w:rsid w:val="004352C5"/>
    <w:pPr>
      <w:numPr>
        <w:numId w:val="33"/>
      </w:numPr>
      <w:spacing w:after="240"/>
    </w:pPr>
  </w:style>
  <w:style w:type="paragraph" w:styleId="ListBullet2">
    <w:name w:val="List Bullet 2"/>
    <w:basedOn w:val="Normal"/>
    <w:uiPriority w:val="6"/>
    <w:qFormat/>
    <w:rsid w:val="004352C5"/>
    <w:pPr>
      <w:numPr>
        <w:ilvl w:val="1"/>
        <w:numId w:val="33"/>
      </w:numPr>
      <w:spacing w:after="240"/>
    </w:pPr>
  </w:style>
  <w:style w:type="paragraph" w:styleId="ListBullet3">
    <w:name w:val="List Bullet 3"/>
    <w:basedOn w:val="Normal"/>
    <w:uiPriority w:val="6"/>
    <w:rsid w:val="004352C5"/>
    <w:pPr>
      <w:numPr>
        <w:ilvl w:val="2"/>
        <w:numId w:val="33"/>
      </w:numPr>
      <w:spacing w:after="240"/>
    </w:pPr>
  </w:style>
  <w:style w:type="paragraph" w:styleId="ListBullet4">
    <w:name w:val="List Bullet 4"/>
    <w:basedOn w:val="Normal"/>
    <w:uiPriority w:val="6"/>
    <w:rsid w:val="004352C5"/>
    <w:pPr>
      <w:numPr>
        <w:ilvl w:val="3"/>
        <w:numId w:val="33"/>
      </w:numPr>
      <w:spacing w:after="240"/>
    </w:pPr>
  </w:style>
  <w:style w:type="paragraph" w:styleId="ListBullet5">
    <w:name w:val="List Bullet 5"/>
    <w:basedOn w:val="Normal"/>
    <w:uiPriority w:val="6"/>
    <w:rsid w:val="004352C5"/>
    <w:pPr>
      <w:numPr>
        <w:ilvl w:val="4"/>
        <w:numId w:val="33"/>
      </w:numPr>
      <w:spacing w:after="240"/>
    </w:pPr>
  </w:style>
  <w:style w:type="paragraph" w:styleId="List">
    <w:name w:val="List"/>
    <w:basedOn w:val="Normal"/>
    <w:uiPriority w:val="5"/>
    <w:semiHidden/>
    <w:qFormat/>
    <w:rsid w:val="004352C5"/>
    <w:pPr>
      <w:spacing w:after="240"/>
      <w:ind w:left="360" w:hanging="360"/>
    </w:pPr>
  </w:style>
  <w:style w:type="paragraph" w:styleId="ListNumber">
    <w:name w:val="List Number"/>
    <w:basedOn w:val="Normal"/>
    <w:uiPriority w:val="7"/>
    <w:qFormat/>
    <w:rsid w:val="004352C5"/>
    <w:pPr>
      <w:numPr>
        <w:numId w:val="34"/>
      </w:numPr>
      <w:spacing w:after="240"/>
    </w:pPr>
  </w:style>
  <w:style w:type="paragraph" w:styleId="ListNumber2">
    <w:name w:val="List Number 2"/>
    <w:basedOn w:val="Normal"/>
    <w:uiPriority w:val="7"/>
    <w:qFormat/>
    <w:rsid w:val="004352C5"/>
    <w:pPr>
      <w:numPr>
        <w:ilvl w:val="1"/>
        <w:numId w:val="34"/>
      </w:numPr>
      <w:spacing w:after="240"/>
    </w:pPr>
  </w:style>
  <w:style w:type="paragraph" w:styleId="ListNumber3">
    <w:name w:val="List Number 3"/>
    <w:basedOn w:val="Normal"/>
    <w:uiPriority w:val="7"/>
    <w:rsid w:val="004352C5"/>
    <w:pPr>
      <w:numPr>
        <w:ilvl w:val="2"/>
        <w:numId w:val="34"/>
      </w:numPr>
      <w:spacing w:after="240"/>
    </w:pPr>
  </w:style>
  <w:style w:type="paragraph" w:styleId="ListNumber4">
    <w:name w:val="List Number 4"/>
    <w:basedOn w:val="Normal"/>
    <w:uiPriority w:val="7"/>
    <w:rsid w:val="004352C5"/>
    <w:pPr>
      <w:numPr>
        <w:ilvl w:val="3"/>
        <w:numId w:val="34"/>
      </w:numPr>
      <w:spacing w:after="240"/>
    </w:pPr>
  </w:style>
  <w:style w:type="paragraph" w:styleId="List2">
    <w:name w:val="List 2"/>
    <w:basedOn w:val="Normal"/>
    <w:uiPriority w:val="5"/>
    <w:semiHidden/>
    <w:qFormat/>
    <w:rsid w:val="004352C5"/>
    <w:pPr>
      <w:spacing w:after="240"/>
      <w:ind w:left="720" w:hanging="360"/>
    </w:pPr>
  </w:style>
  <w:style w:type="paragraph" w:styleId="List3">
    <w:name w:val="List 3"/>
    <w:basedOn w:val="Normal"/>
    <w:uiPriority w:val="5"/>
    <w:semiHidden/>
    <w:rsid w:val="004352C5"/>
    <w:pPr>
      <w:spacing w:after="240"/>
      <w:ind w:left="1080" w:hanging="360"/>
    </w:pPr>
  </w:style>
  <w:style w:type="paragraph" w:styleId="List4">
    <w:name w:val="List 4"/>
    <w:basedOn w:val="Normal"/>
    <w:uiPriority w:val="5"/>
    <w:semiHidden/>
    <w:rsid w:val="004352C5"/>
    <w:pPr>
      <w:spacing w:after="240"/>
      <w:ind w:left="1440" w:hanging="360"/>
    </w:pPr>
  </w:style>
  <w:style w:type="paragraph" w:styleId="List5">
    <w:name w:val="List 5"/>
    <w:basedOn w:val="Normal"/>
    <w:uiPriority w:val="5"/>
    <w:semiHidden/>
    <w:rsid w:val="004352C5"/>
    <w:pPr>
      <w:spacing w:after="240"/>
      <w:ind w:left="1800" w:hanging="360"/>
    </w:pPr>
  </w:style>
  <w:style w:type="paragraph" w:styleId="ListContinue">
    <w:name w:val="List Continue"/>
    <w:basedOn w:val="Normal"/>
    <w:uiPriority w:val="8"/>
    <w:qFormat/>
    <w:rsid w:val="004352C5"/>
    <w:pPr>
      <w:spacing w:after="240"/>
      <w:ind w:left="360"/>
    </w:pPr>
  </w:style>
  <w:style w:type="paragraph" w:styleId="ListContinue2">
    <w:name w:val="List Continue 2"/>
    <w:basedOn w:val="Normal"/>
    <w:uiPriority w:val="8"/>
    <w:qFormat/>
    <w:rsid w:val="004352C5"/>
    <w:pPr>
      <w:spacing w:after="240"/>
      <w:ind w:left="720"/>
    </w:pPr>
  </w:style>
  <w:style w:type="paragraph" w:styleId="ListContinue3">
    <w:name w:val="List Continue 3"/>
    <w:basedOn w:val="Normal"/>
    <w:uiPriority w:val="8"/>
    <w:rsid w:val="004352C5"/>
    <w:pPr>
      <w:spacing w:after="240"/>
      <w:ind w:left="1080"/>
    </w:pPr>
  </w:style>
  <w:style w:type="paragraph" w:styleId="ListContinue4">
    <w:name w:val="List Continue 4"/>
    <w:basedOn w:val="Normal"/>
    <w:uiPriority w:val="8"/>
    <w:rsid w:val="004352C5"/>
    <w:pPr>
      <w:spacing w:after="240"/>
      <w:ind w:left="1440"/>
    </w:pPr>
  </w:style>
  <w:style w:type="paragraph" w:styleId="ListContinue5">
    <w:name w:val="List Continue 5"/>
    <w:basedOn w:val="Normal"/>
    <w:uiPriority w:val="8"/>
    <w:rsid w:val="004352C5"/>
    <w:pPr>
      <w:spacing w:after="240"/>
      <w:ind w:left="1800"/>
    </w:pPr>
  </w:style>
  <w:style w:type="paragraph" w:styleId="ListNumber5">
    <w:name w:val="List Number 5"/>
    <w:basedOn w:val="Normal"/>
    <w:uiPriority w:val="7"/>
    <w:rsid w:val="004352C5"/>
    <w:pPr>
      <w:numPr>
        <w:ilvl w:val="4"/>
        <w:numId w:val="34"/>
      </w:numPr>
      <w:spacing w:after="240"/>
    </w:pPr>
  </w:style>
  <w:style w:type="character" w:customStyle="1" w:styleId="SubtitleCenteredChar">
    <w:name w:val="Subtitle Centered Char"/>
    <w:basedOn w:val="SubtitleChar"/>
    <w:link w:val="SubtitleCentered"/>
    <w:uiPriority w:val="11"/>
    <w:rsid w:val="004352C5"/>
    <w:rPr>
      <w:rFonts w:asciiTheme="majorHAnsi" w:eastAsiaTheme="majorEastAsia" w:hAnsiTheme="majorHAnsi" w:cstheme="majorBidi"/>
      <w:iCs/>
      <w:color w:val="000000" w:themeColor="text1"/>
      <w:sz w:val="24"/>
      <w:szCs w:val="24"/>
      <w:u w:val="single"/>
    </w:rPr>
  </w:style>
  <w:style w:type="character" w:customStyle="1" w:styleId="BlockTextChar">
    <w:name w:val="Block Text Char"/>
    <w:basedOn w:val="DefaultParagraphFont"/>
    <w:link w:val="BlockText"/>
    <w:uiPriority w:val="2"/>
    <w:rsid w:val="004352C5"/>
    <w:rPr>
      <w:rFonts w:eastAsiaTheme="minorEastAsia"/>
      <w:iCs/>
      <w:color w:val="000000" w:themeColor="text1"/>
      <w:sz w:val="24"/>
      <w:szCs w:val="24"/>
    </w:rPr>
  </w:style>
  <w:style w:type="paragraph" w:customStyle="1" w:styleId="LetteredParagraphDouble">
    <w:name w:val="Lettered Paragraph Double"/>
    <w:basedOn w:val="Normal"/>
    <w:link w:val="LetteredParagraphDoubleChar"/>
    <w:unhideWhenUsed/>
    <w:rsid w:val="004352C5"/>
    <w:pPr>
      <w:numPr>
        <w:numId w:val="29"/>
      </w:numPr>
      <w:tabs>
        <w:tab w:val="left" w:pos="1800"/>
      </w:tabs>
      <w:spacing w:line="480" w:lineRule="auto"/>
      <w:ind w:left="1800"/>
    </w:pPr>
  </w:style>
  <w:style w:type="paragraph" w:customStyle="1" w:styleId="LetteredParagraphSingle">
    <w:name w:val="Lettered Paragraph Single"/>
    <w:basedOn w:val="Normal"/>
    <w:link w:val="LetteredParagraphSingleChar"/>
    <w:unhideWhenUsed/>
    <w:rsid w:val="004352C5"/>
    <w:pPr>
      <w:numPr>
        <w:numId w:val="30"/>
      </w:numPr>
      <w:tabs>
        <w:tab w:val="left" w:pos="1800"/>
      </w:tabs>
      <w:spacing w:after="240"/>
      <w:ind w:left="1800"/>
    </w:pPr>
  </w:style>
  <w:style w:type="character" w:customStyle="1" w:styleId="LetteredParagraphDoubleChar">
    <w:name w:val="Lettered Paragraph Double Char"/>
    <w:basedOn w:val="DefaultParagraphFont"/>
    <w:link w:val="LetteredParagraphDouble"/>
    <w:rsid w:val="004352C5"/>
    <w:rPr>
      <w:color w:val="000000" w:themeColor="text1"/>
      <w:sz w:val="24"/>
      <w:szCs w:val="24"/>
    </w:rPr>
  </w:style>
  <w:style w:type="paragraph" w:customStyle="1" w:styleId="NumberedParagraphDouble">
    <w:name w:val="Numbered Paragraph Double"/>
    <w:basedOn w:val="Normal"/>
    <w:link w:val="NumberedParagraphDoubleChar"/>
    <w:semiHidden/>
    <w:rsid w:val="004352C5"/>
    <w:pPr>
      <w:numPr>
        <w:numId w:val="31"/>
      </w:numPr>
      <w:tabs>
        <w:tab w:val="left" w:pos="1800"/>
      </w:tabs>
      <w:spacing w:line="480" w:lineRule="auto"/>
      <w:ind w:left="1800"/>
    </w:pPr>
  </w:style>
  <w:style w:type="character" w:customStyle="1" w:styleId="LetteredParagraphSingleChar">
    <w:name w:val="Lettered Paragraph Single Char"/>
    <w:basedOn w:val="DefaultParagraphFont"/>
    <w:link w:val="LetteredParagraphSingle"/>
    <w:rsid w:val="004352C5"/>
    <w:rPr>
      <w:color w:val="000000" w:themeColor="text1"/>
      <w:sz w:val="24"/>
      <w:szCs w:val="24"/>
    </w:rPr>
  </w:style>
  <w:style w:type="paragraph" w:customStyle="1" w:styleId="NumberedParagraphSingle">
    <w:name w:val="Numbered Paragraph Single"/>
    <w:basedOn w:val="Normal"/>
    <w:link w:val="NumberedParagraphSingleChar"/>
    <w:semiHidden/>
    <w:rsid w:val="004352C5"/>
    <w:pPr>
      <w:numPr>
        <w:numId w:val="32"/>
      </w:numPr>
      <w:tabs>
        <w:tab w:val="left" w:pos="1800"/>
      </w:tabs>
      <w:spacing w:after="240"/>
      <w:ind w:left="1800"/>
    </w:pPr>
  </w:style>
  <w:style w:type="character" w:customStyle="1" w:styleId="NumberedParagraphDoubleChar">
    <w:name w:val="Numbered Paragraph Double Char"/>
    <w:basedOn w:val="DefaultParagraphFont"/>
    <w:link w:val="NumberedParagraphDouble"/>
    <w:semiHidden/>
    <w:rsid w:val="004352C5"/>
    <w:rPr>
      <w:color w:val="000000" w:themeColor="text1"/>
      <w:sz w:val="24"/>
      <w:szCs w:val="24"/>
    </w:rPr>
  </w:style>
  <w:style w:type="paragraph" w:customStyle="1" w:styleId="Re">
    <w:name w:val="Re"/>
    <w:basedOn w:val="Normal"/>
    <w:next w:val="Salutation"/>
    <w:rsid w:val="004352C5"/>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semiHidden/>
    <w:rsid w:val="004352C5"/>
    <w:rPr>
      <w:color w:val="000000" w:themeColor="text1"/>
      <w:sz w:val="24"/>
      <w:szCs w:val="24"/>
    </w:rPr>
  </w:style>
  <w:style w:type="paragraph" w:customStyle="1" w:styleId="TableEnd">
    <w:name w:val="Table End"/>
    <w:basedOn w:val="Normal"/>
    <w:uiPriority w:val="19"/>
    <w:semiHidden/>
    <w:rsid w:val="004352C5"/>
    <w:pPr>
      <w:spacing w:before="60" w:after="180"/>
    </w:pPr>
  </w:style>
  <w:style w:type="paragraph" w:customStyle="1" w:styleId="TableHeading">
    <w:name w:val="Table Heading"/>
    <w:basedOn w:val="Normal"/>
    <w:uiPriority w:val="19"/>
    <w:semiHidden/>
    <w:rsid w:val="004352C5"/>
    <w:pPr>
      <w:keepNext/>
      <w:spacing w:before="240" w:after="60"/>
      <w:jc w:val="center"/>
    </w:pPr>
    <w:rPr>
      <w:b/>
    </w:rPr>
  </w:style>
  <w:style w:type="paragraph" w:customStyle="1" w:styleId="TableText">
    <w:name w:val="Table Text"/>
    <w:basedOn w:val="Normal"/>
    <w:uiPriority w:val="19"/>
    <w:semiHidden/>
    <w:rsid w:val="004352C5"/>
    <w:pPr>
      <w:spacing w:before="60" w:after="60"/>
    </w:pPr>
  </w:style>
  <w:style w:type="paragraph" w:styleId="TOCHeading">
    <w:name w:val="TOC Heading"/>
    <w:basedOn w:val="Normal"/>
    <w:next w:val="Normal"/>
    <w:uiPriority w:val="39"/>
    <w:unhideWhenUsed/>
    <w:qFormat/>
    <w:rsid w:val="004352C5"/>
    <w:pPr>
      <w:spacing w:after="240"/>
      <w:contextualSpacing/>
      <w:jc w:val="center"/>
    </w:pPr>
    <w:rPr>
      <w:b/>
    </w:rPr>
  </w:style>
  <w:style w:type="paragraph" w:styleId="TOC1">
    <w:name w:val="toc 1"/>
    <w:basedOn w:val="Normal"/>
    <w:next w:val="Normal"/>
    <w:uiPriority w:val="39"/>
    <w:rsid w:val="004352C5"/>
    <w:pPr>
      <w:tabs>
        <w:tab w:val="right" w:leader="dot" w:pos="9346"/>
      </w:tabs>
      <w:spacing w:after="240"/>
      <w:ind w:left="720" w:right="720" w:hanging="720"/>
    </w:pPr>
    <w:rPr>
      <w:noProof/>
    </w:rPr>
  </w:style>
  <w:style w:type="paragraph" w:styleId="TOC2">
    <w:name w:val="toc 2"/>
    <w:basedOn w:val="Normal"/>
    <w:next w:val="Normal"/>
    <w:uiPriority w:val="39"/>
    <w:rsid w:val="004352C5"/>
    <w:pPr>
      <w:tabs>
        <w:tab w:val="right" w:leader="dot" w:pos="9346"/>
      </w:tabs>
      <w:spacing w:after="240"/>
      <w:ind w:left="1440" w:right="720" w:hanging="720"/>
    </w:pPr>
    <w:rPr>
      <w:noProof/>
    </w:rPr>
  </w:style>
  <w:style w:type="paragraph" w:styleId="TOC3">
    <w:name w:val="toc 3"/>
    <w:basedOn w:val="Normal"/>
    <w:next w:val="Normal"/>
    <w:uiPriority w:val="39"/>
    <w:rsid w:val="004352C5"/>
    <w:pPr>
      <w:tabs>
        <w:tab w:val="right" w:leader="dot" w:pos="9346"/>
      </w:tabs>
      <w:spacing w:after="240"/>
      <w:ind w:left="2160" w:right="720" w:hanging="720"/>
    </w:pPr>
    <w:rPr>
      <w:noProof/>
    </w:rPr>
  </w:style>
  <w:style w:type="paragraph" w:styleId="TOC4">
    <w:name w:val="toc 4"/>
    <w:basedOn w:val="Normal"/>
    <w:next w:val="Normal"/>
    <w:uiPriority w:val="39"/>
    <w:semiHidden/>
    <w:rsid w:val="004352C5"/>
    <w:pPr>
      <w:tabs>
        <w:tab w:val="right" w:leader="dot" w:pos="9346"/>
      </w:tabs>
      <w:spacing w:after="240"/>
      <w:ind w:left="2880" w:right="720" w:hanging="720"/>
    </w:pPr>
    <w:rPr>
      <w:noProof/>
    </w:rPr>
  </w:style>
  <w:style w:type="paragraph" w:styleId="TOC5">
    <w:name w:val="toc 5"/>
    <w:basedOn w:val="Normal"/>
    <w:next w:val="Normal"/>
    <w:uiPriority w:val="39"/>
    <w:semiHidden/>
    <w:rsid w:val="004352C5"/>
    <w:pPr>
      <w:tabs>
        <w:tab w:val="right" w:leader="dot" w:pos="9346"/>
      </w:tabs>
      <w:spacing w:after="240"/>
      <w:ind w:left="3600" w:right="720" w:hanging="720"/>
    </w:pPr>
    <w:rPr>
      <w:noProof/>
    </w:rPr>
  </w:style>
  <w:style w:type="paragraph" w:styleId="TOC6">
    <w:name w:val="toc 6"/>
    <w:basedOn w:val="Normal"/>
    <w:next w:val="Normal"/>
    <w:uiPriority w:val="39"/>
    <w:semiHidden/>
    <w:rsid w:val="004352C5"/>
    <w:pPr>
      <w:tabs>
        <w:tab w:val="right" w:leader="dot" w:pos="9346"/>
      </w:tabs>
      <w:spacing w:after="240"/>
      <w:ind w:left="4320" w:right="720" w:hanging="720"/>
    </w:pPr>
    <w:rPr>
      <w:noProof/>
    </w:rPr>
  </w:style>
  <w:style w:type="paragraph" w:styleId="TOC7">
    <w:name w:val="toc 7"/>
    <w:basedOn w:val="Normal"/>
    <w:next w:val="Normal"/>
    <w:uiPriority w:val="39"/>
    <w:semiHidden/>
    <w:rsid w:val="004352C5"/>
    <w:pPr>
      <w:tabs>
        <w:tab w:val="right" w:leader="dot" w:pos="9346"/>
      </w:tabs>
      <w:spacing w:after="240"/>
      <w:ind w:left="5040" w:right="720" w:hanging="720"/>
    </w:pPr>
    <w:rPr>
      <w:noProof/>
    </w:rPr>
  </w:style>
  <w:style w:type="paragraph" w:styleId="TOC8">
    <w:name w:val="toc 8"/>
    <w:basedOn w:val="Normal"/>
    <w:next w:val="Normal"/>
    <w:uiPriority w:val="39"/>
    <w:semiHidden/>
    <w:rsid w:val="004352C5"/>
    <w:pPr>
      <w:tabs>
        <w:tab w:val="right" w:leader="dot" w:pos="9346"/>
      </w:tabs>
      <w:spacing w:after="240"/>
      <w:ind w:left="5760" w:right="720" w:hanging="720"/>
    </w:pPr>
    <w:rPr>
      <w:noProof/>
    </w:rPr>
  </w:style>
  <w:style w:type="paragraph" w:styleId="TOC9">
    <w:name w:val="toc 9"/>
    <w:basedOn w:val="Normal"/>
    <w:next w:val="Normal"/>
    <w:uiPriority w:val="39"/>
    <w:semiHidden/>
    <w:rsid w:val="004352C5"/>
    <w:pPr>
      <w:tabs>
        <w:tab w:val="right" w:leader="dot" w:pos="9346"/>
      </w:tabs>
      <w:spacing w:after="240"/>
      <w:ind w:left="6480" w:right="720" w:hanging="720"/>
    </w:pPr>
    <w:rPr>
      <w:noProof/>
    </w:rPr>
  </w:style>
  <w:style w:type="paragraph" w:customStyle="1" w:styleId="ImanageFooter">
    <w:name w:val="Imanage Footer"/>
    <w:basedOn w:val="Normal"/>
    <w:rsid w:val="00915969"/>
    <w:rPr>
      <w:rFonts w:ascii="Times New Roman" w:eastAsia="Times New Roman" w:hAnsi="Times New Roman" w:cs="Times New Roman"/>
      <w:color w:val="auto"/>
      <w:sz w:val="16"/>
    </w:rPr>
  </w:style>
  <w:style w:type="character" w:styleId="PlaceholderText">
    <w:name w:val="Placeholder Text"/>
    <w:basedOn w:val="DefaultParagraphFont"/>
    <w:uiPriority w:val="99"/>
    <w:semiHidden/>
    <w:rsid w:val="00544E66"/>
    <w:rPr>
      <w:color w:val="808080"/>
    </w:rPr>
  </w:style>
  <w:style w:type="table" w:styleId="TableGrid">
    <w:name w:val="Table Grid"/>
    <w:basedOn w:val="TableNormal"/>
    <w:rsid w:val="00BD56EA"/>
    <w:pPr>
      <w:spacing w:after="0" w:line="240" w:lineRule="auto"/>
    </w:pPr>
    <w:rPr>
      <w:rFonts w:ascii="Georgia" w:eastAsia="Arial Unicode MS" w:hAnsi="Georg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3084"/>
    <w:rPr>
      <w:rFonts w:ascii="Times New Roman" w:hAnsi="Times New Roman" w:cs="Times New Roman"/>
      <w:color w:val="auto"/>
    </w:rPr>
  </w:style>
  <w:style w:type="character" w:styleId="FollowedHyperlink">
    <w:name w:val="FollowedHyperlink"/>
    <w:basedOn w:val="DefaultParagraphFont"/>
    <w:uiPriority w:val="99"/>
    <w:semiHidden/>
    <w:unhideWhenUsed/>
    <w:rsid w:val="000A4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4861">
      <w:bodyDiv w:val="1"/>
      <w:marLeft w:val="0"/>
      <w:marRight w:val="0"/>
      <w:marTop w:val="0"/>
      <w:marBottom w:val="0"/>
      <w:divBdr>
        <w:top w:val="none" w:sz="0" w:space="0" w:color="auto"/>
        <w:left w:val="none" w:sz="0" w:space="0" w:color="auto"/>
        <w:bottom w:val="none" w:sz="0" w:space="0" w:color="auto"/>
        <w:right w:val="none" w:sz="0" w:space="0" w:color="auto"/>
      </w:divBdr>
      <w:divsChild>
        <w:div w:id="1151018419">
          <w:marLeft w:val="0"/>
          <w:marRight w:val="0"/>
          <w:marTop w:val="0"/>
          <w:marBottom w:val="0"/>
          <w:divBdr>
            <w:top w:val="none" w:sz="0" w:space="0" w:color="auto"/>
            <w:left w:val="none" w:sz="0" w:space="0" w:color="auto"/>
            <w:bottom w:val="none" w:sz="0" w:space="0" w:color="auto"/>
            <w:right w:val="none" w:sz="0" w:space="0" w:color="auto"/>
          </w:divBdr>
        </w:div>
        <w:div w:id="1304117843">
          <w:marLeft w:val="0"/>
          <w:marRight w:val="0"/>
          <w:marTop w:val="0"/>
          <w:marBottom w:val="0"/>
          <w:divBdr>
            <w:top w:val="none" w:sz="0" w:space="0" w:color="auto"/>
            <w:left w:val="none" w:sz="0" w:space="0" w:color="auto"/>
            <w:bottom w:val="none" w:sz="0" w:space="0" w:color="auto"/>
            <w:right w:val="none" w:sz="0" w:space="0" w:color="auto"/>
          </w:divBdr>
          <w:divsChild>
            <w:div w:id="1941259748">
              <w:marLeft w:val="0"/>
              <w:marRight w:val="0"/>
              <w:marTop w:val="0"/>
              <w:marBottom w:val="225"/>
              <w:divBdr>
                <w:top w:val="none" w:sz="0" w:space="0" w:color="auto"/>
                <w:left w:val="none" w:sz="0" w:space="0" w:color="auto"/>
                <w:bottom w:val="none" w:sz="0" w:space="0" w:color="auto"/>
                <w:right w:val="none" w:sz="0" w:space="0" w:color="auto"/>
              </w:divBdr>
              <w:divsChild>
                <w:div w:id="16979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92384">
      <w:bodyDiv w:val="1"/>
      <w:marLeft w:val="0"/>
      <w:marRight w:val="0"/>
      <w:marTop w:val="0"/>
      <w:marBottom w:val="0"/>
      <w:divBdr>
        <w:top w:val="none" w:sz="0" w:space="0" w:color="auto"/>
        <w:left w:val="none" w:sz="0" w:space="0" w:color="auto"/>
        <w:bottom w:val="none" w:sz="0" w:space="0" w:color="auto"/>
        <w:right w:val="none" w:sz="0" w:space="0" w:color="auto"/>
      </w:divBdr>
    </w:div>
    <w:div w:id="639925165">
      <w:bodyDiv w:val="1"/>
      <w:marLeft w:val="0"/>
      <w:marRight w:val="0"/>
      <w:marTop w:val="0"/>
      <w:marBottom w:val="0"/>
      <w:divBdr>
        <w:top w:val="none" w:sz="0" w:space="0" w:color="auto"/>
        <w:left w:val="none" w:sz="0" w:space="0" w:color="auto"/>
        <w:bottom w:val="none" w:sz="0" w:space="0" w:color="auto"/>
        <w:right w:val="none" w:sz="0" w:space="0" w:color="auto"/>
      </w:divBdr>
    </w:div>
    <w:div w:id="722876442">
      <w:bodyDiv w:val="1"/>
      <w:marLeft w:val="0"/>
      <w:marRight w:val="0"/>
      <w:marTop w:val="0"/>
      <w:marBottom w:val="0"/>
      <w:divBdr>
        <w:top w:val="none" w:sz="0" w:space="0" w:color="auto"/>
        <w:left w:val="none" w:sz="0" w:space="0" w:color="auto"/>
        <w:bottom w:val="none" w:sz="0" w:space="0" w:color="auto"/>
        <w:right w:val="none" w:sz="0" w:space="0" w:color="auto"/>
      </w:divBdr>
    </w:div>
    <w:div w:id="808283271">
      <w:bodyDiv w:val="1"/>
      <w:marLeft w:val="0"/>
      <w:marRight w:val="0"/>
      <w:marTop w:val="0"/>
      <w:marBottom w:val="0"/>
      <w:divBdr>
        <w:top w:val="none" w:sz="0" w:space="0" w:color="auto"/>
        <w:left w:val="none" w:sz="0" w:space="0" w:color="auto"/>
        <w:bottom w:val="none" w:sz="0" w:space="0" w:color="auto"/>
        <w:right w:val="none" w:sz="0" w:space="0" w:color="auto"/>
      </w:divBdr>
    </w:div>
    <w:div w:id="1022514359">
      <w:bodyDiv w:val="1"/>
      <w:marLeft w:val="0"/>
      <w:marRight w:val="0"/>
      <w:marTop w:val="0"/>
      <w:marBottom w:val="0"/>
      <w:divBdr>
        <w:top w:val="none" w:sz="0" w:space="0" w:color="auto"/>
        <w:left w:val="none" w:sz="0" w:space="0" w:color="auto"/>
        <w:bottom w:val="none" w:sz="0" w:space="0" w:color="auto"/>
        <w:right w:val="none" w:sz="0" w:space="0" w:color="auto"/>
      </w:divBdr>
    </w:div>
    <w:div w:id="1150709125">
      <w:bodyDiv w:val="1"/>
      <w:marLeft w:val="0"/>
      <w:marRight w:val="0"/>
      <w:marTop w:val="0"/>
      <w:marBottom w:val="0"/>
      <w:divBdr>
        <w:top w:val="none" w:sz="0" w:space="0" w:color="auto"/>
        <w:left w:val="none" w:sz="0" w:space="0" w:color="auto"/>
        <w:bottom w:val="none" w:sz="0" w:space="0" w:color="auto"/>
        <w:right w:val="none" w:sz="0" w:space="0" w:color="auto"/>
      </w:divBdr>
    </w:div>
    <w:div w:id="1438794869">
      <w:bodyDiv w:val="1"/>
      <w:marLeft w:val="0"/>
      <w:marRight w:val="0"/>
      <w:marTop w:val="0"/>
      <w:marBottom w:val="0"/>
      <w:divBdr>
        <w:top w:val="none" w:sz="0" w:space="0" w:color="auto"/>
        <w:left w:val="none" w:sz="0" w:space="0" w:color="auto"/>
        <w:bottom w:val="none" w:sz="0" w:space="0" w:color="auto"/>
        <w:right w:val="none" w:sz="0" w:space="0" w:color="auto"/>
      </w:divBdr>
    </w:div>
    <w:div w:id="1574390975">
      <w:bodyDiv w:val="1"/>
      <w:marLeft w:val="0"/>
      <w:marRight w:val="0"/>
      <w:marTop w:val="0"/>
      <w:marBottom w:val="0"/>
      <w:divBdr>
        <w:top w:val="none" w:sz="0" w:space="0" w:color="auto"/>
        <w:left w:val="none" w:sz="0" w:space="0" w:color="auto"/>
        <w:bottom w:val="none" w:sz="0" w:space="0" w:color="auto"/>
        <w:right w:val="none" w:sz="0" w:space="0" w:color="auto"/>
      </w:divBdr>
    </w:div>
    <w:div w:id="1667436715">
      <w:bodyDiv w:val="1"/>
      <w:marLeft w:val="0"/>
      <w:marRight w:val="0"/>
      <w:marTop w:val="0"/>
      <w:marBottom w:val="0"/>
      <w:divBdr>
        <w:top w:val="none" w:sz="0" w:space="0" w:color="auto"/>
        <w:left w:val="none" w:sz="0" w:space="0" w:color="auto"/>
        <w:bottom w:val="none" w:sz="0" w:space="0" w:color="auto"/>
        <w:right w:val="none" w:sz="0" w:space="0" w:color="auto"/>
      </w:divBdr>
    </w:div>
    <w:div w:id="1705980039">
      <w:bodyDiv w:val="1"/>
      <w:marLeft w:val="0"/>
      <w:marRight w:val="0"/>
      <w:marTop w:val="0"/>
      <w:marBottom w:val="0"/>
      <w:divBdr>
        <w:top w:val="none" w:sz="0" w:space="0" w:color="auto"/>
        <w:left w:val="none" w:sz="0" w:space="0" w:color="auto"/>
        <w:bottom w:val="none" w:sz="0" w:space="0" w:color="auto"/>
        <w:right w:val="none" w:sz="0" w:space="0" w:color="auto"/>
      </w:divBdr>
    </w:div>
    <w:div w:id="1773359182">
      <w:bodyDiv w:val="1"/>
      <w:marLeft w:val="0"/>
      <w:marRight w:val="0"/>
      <w:marTop w:val="0"/>
      <w:marBottom w:val="0"/>
      <w:divBdr>
        <w:top w:val="none" w:sz="0" w:space="0" w:color="auto"/>
        <w:left w:val="none" w:sz="0" w:space="0" w:color="auto"/>
        <w:bottom w:val="none" w:sz="0" w:space="0" w:color="auto"/>
        <w:right w:val="none" w:sz="0" w:space="0" w:color="auto"/>
      </w:divBdr>
    </w:div>
    <w:div w:id="1781560549">
      <w:bodyDiv w:val="1"/>
      <w:marLeft w:val="0"/>
      <w:marRight w:val="0"/>
      <w:marTop w:val="0"/>
      <w:marBottom w:val="0"/>
      <w:divBdr>
        <w:top w:val="none" w:sz="0" w:space="0" w:color="auto"/>
        <w:left w:val="none" w:sz="0" w:space="0" w:color="auto"/>
        <w:bottom w:val="none" w:sz="0" w:space="0" w:color="auto"/>
        <w:right w:val="none" w:sz="0" w:space="0" w:color="auto"/>
      </w:divBdr>
    </w:div>
    <w:div w:id="1789080345">
      <w:bodyDiv w:val="1"/>
      <w:marLeft w:val="0"/>
      <w:marRight w:val="0"/>
      <w:marTop w:val="0"/>
      <w:marBottom w:val="0"/>
      <w:divBdr>
        <w:top w:val="none" w:sz="0" w:space="0" w:color="auto"/>
        <w:left w:val="none" w:sz="0" w:space="0" w:color="auto"/>
        <w:bottom w:val="none" w:sz="0" w:space="0" w:color="auto"/>
        <w:right w:val="none" w:sz="0" w:space="0" w:color="auto"/>
      </w:divBdr>
    </w:div>
    <w:div w:id="1797138456">
      <w:bodyDiv w:val="1"/>
      <w:marLeft w:val="0"/>
      <w:marRight w:val="0"/>
      <w:marTop w:val="0"/>
      <w:marBottom w:val="0"/>
      <w:divBdr>
        <w:top w:val="none" w:sz="0" w:space="0" w:color="auto"/>
        <w:left w:val="none" w:sz="0" w:space="0" w:color="auto"/>
        <w:bottom w:val="none" w:sz="0" w:space="0" w:color="auto"/>
        <w:right w:val="none" w:sz="0" w:space="0" w:color="auto"/>
      </w:divBdr>
      <w:divsChild>
        <w:div w:id="989208898">
          <w:marLeft w:val="0"/>
          <w:marRight w:val="0"/>
          <w:marTop w:val="0"/>
          <w:marBottom w:val="0"/>
          <w:divBdr>
            <w:top w:val="none" w:sz="0" w:space="0" w:color="auto"/>
            <w:left w:val="none" w:sz="0" w:space="0" w:color="auto"/>
            <w:bottom w:val="none" w:sz="0" w:space="0" w:color="auto"/>
            <w:right w:val="none" w:sz="0" w:space="0" w:color="auto"/>
          </w:divBdr>
          <w:divsChild>
            <w:div w:id="1225262619">
              <w:marLeft w:val="0"/>
              <w:marRight w:val="0"/>
              <w:marTop w:val="0"/>
              <w:marBottom w:val="0"/>
              <w:divBdr>
                <w:top w:val="none" w:sz="0" w:space="0" w:color="auto"/>
                <w:left w:val="none" w:sz="0" w:space="0" w:color="auto"/>
                <w:bottom w:val="none" w:sz="0" w:space="0" w:color="auto"/>
                <w:right w:val="none" w:sz="0" w:space="0" w:color="auto"/>
              </w:divBdr>
              <w:divsChild>
                <w:div w:id="6935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07738">
      <w:bodyDiv w:val="1"/>
      <w:marLeft w:val="0"/>
      <w:marRight w:val="0"/>
      <w:marTop w:val="0"/>
      <w:marBottom w:val="0"/>
      <w:divBdr>
        <w:top w:val="none" w:sz="0" w:space="0" w:color="auto"/>
        <w:left w:val="none" w:sz="0" w:space="0" w:color="auto"/>
        <w:bottom w:val="none" w:sz="0" w:space="0" w:color="auto"/>
        <w:right w:val="none" w:sz="0" w:space="0" w:color="auto"/>
      </w:divBdr>
    </w:div>
    <w:div w:id="20804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ovington">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04A2D-5A3D-4D08-B64A-B252098B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9522</Words>
  <Characters>53134</Characters>
  <Application>Microsoft Office Word</Application>
  <DocSecurity>0</DocSecurity>
  <Lines>781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Smith</dc:creator>
  <cp:lastModifiedBy>Ryu, Shinji</cp:lastModifiedBy>
  <cp:revision>2</cp:revision>
  <cp:lastPrinted>2020-04-21T15:05:00Z</cp:lastPrinted>
  <dcterms:created xsi:type="dcterms:W3CDTF">2020-05-14T18:40:00Z</dcterms:created>
  <dcterms:modified xsi:type="dcterms:W3CDTF">2020-05-14T18:40:00Z</dcterms:modified>
</cp:coreProperties>
</file>