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501B" w14:textId="12389A51" w:rsidR="007E1808" w:rsidRPr="00AD0E12" w:rsidRDefault="007E1808" w:rsidP="00B31E27">
      <w:pPr>
        <w:shd w:val="clear" w:color="auto" w:fill="FFFFFF"/>
        <w:spacing w:before="100" w:beforeAutospacing="1" w:after="240" w:line="300" w:lineRule="atLeast"/>
        <w:jc w:val="center"/>
        <w:rPr>
          <w:rFonts w:asciiTheme="majorHAnsi" w:hAnsiTheme="majorHAnsi" w:cstheme="majorHAnsi"/>
          <w:b/>
          <w:bCs/>
          <w:color w:val="00467F"/>
          <w:kern w:val="36"/>
          <w:sz w:val="56"/>
          <w:szCs w:val="56"/>
        </w:rPr>
      </w:pPr>
      <w:r w:rsidRPr="00AD0E12">
        <w:rPr>
          <w:rFonts w:asciiTheme="majorHAnsi" w:hAnsiTheme="majorHAnsi" w:cstheme="majorHAnsi"/>
          <w:b/>
          <w:bCs/>
          <w:color w:val="00467F"/>
          <w:kern w:val="36"/>
          <w:sz w:val="56"/>
          <w:szCs w:val="56"/>
        </w:rPr>
        <w:t>Affinity Fraud</w:t>
      </w:r>
      <w:r w:rsidR="00EC17F4">
        <w:rPr>
          <w:rFonts w:asciiTheme="majorHAnsi" w:hAnsiTheme="majorHAnsi" w:cstheme="majorHAnsi"/>
          <w:b/>
          <w:bCs/>
          <w:color w:val="00467F"/>
          <w:kern w:val="36"/>
          <w:sz w:val="56"/>
          <w:szCs w:val="56"/>
        </w:rPr>
        <w:t xml:space="preserve">: </w:t>
      </w:r>
      <w:r w:rsidRPr="00AD0E12">
        <w:rPr>
          <w:rFonts w:asciiTheme="majorHAnsi" w:hAnsiTheme="majorHAnsi" w:cstheme="majorHAnsi"/>
          <w:b/>
          <w:bCs/>
          <w:color w:val="00467F"/>
          <w:kern w:val="36"/>
          <w:sz w:val="56"/>
          <w:szCs w:val="56"/>
        </w:rPr>
        <w:t xml:space="preserve">Scams </w:t>
      </w:r>
      <w:r w:rsidR="002255BC">
        <w:rPr>
          <w:rFonts w:asciiTheme="majorHAnsi" w:hAnsiTheme="majorHAnsi" w:cstheme="majorHAnsi"/>
          <w:b/>
          <w:bCs/>
          <w:color w:val="00467F"/>
          <w:kern w:val="36"/>
          <w:sz w:val="56"/>
          <w:szCs w:val="56"/>
        </w:rPr>
        <w:t xml:space="preserve">Preying </w:t>
      </w:r>
      <w:r w:rsidR="00355C04">
        <w:rPr>
          <w:rFonts w:asciiTheme="majorHAnsi" w:hAnsiTheme="majorHAnsi" w:cstheme="majorHAnsi"/>
          <w:b/>
          <w:bCs/>
          <w:color w:val="00467F"/>
          <w:kern w:val="36"/>
          <w:sz w:val="56"/>
          <w:szCs w:val="56"/>
        </w:rPr>
        <w:t>on</w:t>
      </w:r>
      <w:r w:rsidR="0030304D">
        <w:rPr>
          <w:rFonts w:asciiTheme="majorHAnsi" w:hAnsiTheme="majorHAnsi" w:cstheme="majorHAnsi"/>
          <w:b/>
          <w:bCs/>
          <w:color w:val="00467F"/>
          <w:kern w:val="36"/>
          <w:sz w:val="56"/>
          <w:szCs w:val="56"/>
        </w:rPr>
        <w:t xml:space="preserve"> Trust</w:t>
      </w:r>
      <w:bookmarkStart w:id="0" w:name="_GoBack"/>
      <w:bookmarkEnd w:id="0"/>
    </w:p>
    <w:p w14:paraId="6BDBD6A0" w14:textId="0DC12A38" w:rsidR="007E1808" w:rsidRPr="00AD0E12" w:rsidRDefault="007E1808" w:rsidP="00B6131A">
      <w:pPr>
        <w:rPr>
          <w:rFonts w:asciiTheme="majorHAnsi" w:hAnsiTheme="majorHAnsi" w:cstheme="majorHAnsi"/>
          <w:szCs w:val="24"/>
        </w:rPr>
      </w:pPr>
      <w:r w:rsidRPr="00AD0E12">
        <w:rPr>
          <w:rFonts w:asciiTheme="majorHAnsi" w:hAnsiTheme="majorHAnsi" w:cstheme="majorHAnsi"/>
          <w:szCs w:val="24"/>
        </w:rPr>
        <w:t xml:space="preserve">Affinity fraud is an investment scam that preys upon members of </w:t>
      </w:r>
      <w:r w:rsidR="00EF30CC" w:rsidRPr="00AD0E12">
        <w:rPr>
          <w:rFonts w:asciiTheme="majorHAnsi" w:hAnsiTheme="majorHAnsi" w:cstheme="majorHAnsi"/>
          <w:szCs w:val="24"/>
        </w:rPr>
        <w:t>specific groups</w:t>
      </w:r>
      <w:r w:rsidR="00DD24E2" w:rsidRPr="00AD0E12">
        <w:rPr>
          <w:rFonts w:asciiTheme="majorHAnsi" w:hAnsiTheme="majorHAnsi" w:cstheme="majorHAnsi"/>
          <w:szCs w:val="24"/>
        </w:rPr>
        <w:t xml:space="preserve"> or communities</w:t>
      </w:r>
      <w:r w:rsidR="00AD0E12">
        <w:rPr>
          <w:rFonts w:asciiTheme="majorHAnsi" w:hAnsiTheme="majorHAnsi" w:cstheme="majorHAnsi"/>
          <w:szCs w:val="24"/>
        </w:rPr>
        <w:t xml:space="preserve"> that</w:t>
      </w:r>
      <w:r w:rsidRPr="00AD0E12">
        <w:rPr>
          <w:rFonts w:asciiTheme="majorHAnsi" w:hAnsiTheme="majorHAnsi" w:cstheme="majorHAnsi"/>
          <w:szCs w:val="24"/>
        </w:rPr>
        <w:t xml:space="preserve"> can include</w:t>
      </w:r>
      <w:r w:rsidR="00FD045A" w:rsidRPr="00AD0E12">
        <w:rPr>
          <w:rFonts w:asciiTheme="majorHAnsi" w:hAnsiTheme="majorHAnsi" w:cstheme="majorHAnsi"/>
          <w:szCs w:val="24"/>
        </w:rPr>
        <w:t xml:space="preserve"> </w:t>
      </w:r>
      <w:r w:rsidR="005F5002" w:rsidRPr="00AD0E12">
        <w:rPr>
          <w:rFonts w:asciiTheme="majorHAnsi" w:hAnsiTheme="majorHAnsi" w:cstheme="majorHAnsi"/>
          <w:szCs w:val="24"/>
        </w:rPr>
        <w:t xml:space="preserve">religious, </w:t>
      </w:r>
      <w:r w:rsidRPr="00AD0E12">
        <w:rPr>
          <w:rFonts w:asciiTheme="majorHAnsi" w:hAnsiTheme="majorHAnsi" w:cstheme="majorHAnsi"/>
          <w:szCs w:val="24"/>
        </w:rPr>
        <w:t>social, ethnic, political or professional associations. The problem with affinity fraud is that people may let their guards down when offered an investment opportunity by a fellow member of a church or social club</w:t>
      </w:r>
      <w:r w:rsidR="00AD0E12">
        <w:rPr>
          <w:rFonts w:asciiTheme="majorHAnsi" w:hAnsiTheme="majorHAnsi" w:cstheme="majorHAnsi"/>
          <w:szCs w:val="24"/>
        </w:rPr>
        <w:t>,</w:t>
      </w:r>
      <w:r w:rsidRPr="00AD0E12">
        <w:rPr>
          <w:rFonts w:asciiTheme="majorHAnsi" w:hAnsiTheme="majorHAnsi" w:cstheme="majorHAnsi"/>
          <w:szCs w:val="24"/>
        </w:rPr>
        <w:t xml:space="preserve"> or someone they know</w:t>
      </w:r>
      <w:r w:rsidR="00406742" w:rsidRPr="00AD0E12">
        <w:rPr>
          <w:rFonts w:asciiTheme="majorHAnsi" w:hAnsiTheme="majorHAnsi" w:cstheme="majorHAnsi"/>
          <w:szCs w:val="24"/>
        </w:rPr>
        <w:t xml:space="preserve"> </w:t>
      </w:r>
      <w:r w:rsidR="0051219E">
        <w:rPr>
          <w:rFonts w:asciiTheme="majorHAnsi" w:hAnsiTheme="majorHAnsi" w:cstheme="majorHAnsi"/>
          <w:szCs w:val="24"/>
        </w:rPr>
        <w:t>and trust</w:t>
      </w:r>
      <w:r w:rsidRPr="00AD0E12">
        <w:rPr>
          <w:rFonts w:asciiTheme="majorHAnsi" w:hAnsiTheme="majorHAnsi" w:cstheme="majorHAnsi"/>
          <w:szCs w:val="24"/>
        </w:rPr>
        <w:t xml:space="preserve">. The </w:t>
      </w:r>
      <w:r w:rsidR="00D24E8E" w:rsidRPr="00AD0E12">
        <w:rPr>
          <w:rFonts w:asciiTheme="majorHAnsi" w:hAnsiTheme="majorHAnsi" w:cstheme="majorHAnsi"/>
          <w:szCs w:val="24"/>
        </w:rPr>
        <w:t>District of Columbia</w:t>
      </w:r>
      <w:r w:rsidRPr="00AD0E12">
        <w:rPr>
          <w:rFonts w:asciiTheme="majorHAnsi" w:hAnsiTheme="majorHAnsi" w:cstheme="majorHAnsi"/>
          <w:szCs w:val="24"/>
        </w:rPr>
        <w:t xml:space="preserve"> Department of Insurance, Securities and Banking</w:t>
      </w:r>
      <w:r w:rsidR="00AD0E12">
        <w:rPr>
          <w:rFonts w:asciiTheme="majorHAnsi" w:hAnsiTheme="majorHAnsi" w:cstheme="majorHAnsi"/>
          <w:szCs w:val="24"/>
        </w:rPr>
        <w:t xml:space="preserve"> (</w:t>
      </w:r>
      <w:r w:rsidRPr="00AD0E12">
        <w:rPr>
          <w:rFonts w:asciiTheme="majorHAnsi" w:hAnsiTheme="majorHAnsi" w:cstheme="majorHAnsi"/>
          <w:szCs w:val="24"/>
        </w:rPr>
        <w:t>DISB</w:t>
      </w:r>
      <w:r w:rsidR="00AD0E12">
        <w:rPr>
          <w:rFonts w:asciiTheme="majorHAnsi" w:hAnsiTheme="majorHAnsi" w:cstheme="majorHAnsi"/>
          <w:szCs w:val="24"/>
        </w:rPr>
        <w:t>)</w:t>
      </w:r>
      <w:r w:rsidRPr="00AD0E12">
        <w:rPr>
          <w:rFonts w:asciiTheme="majorHAnsi" w:hAnsiTheme="majorHAnsi" w:cstheme="majorHAnsi"/>
          <w:szCs w:val="24"/>
        </w:rPr>
        <w:t xml:space="preserve"> </w:t>
      </w:r>
      <w:r w:rsidR="00AD0E12">
        <w:rPr>
          <w:rFonts w:asciiTheme="majorHAnsi" w:hAnsiTheme="majorHAnsi" w:cstheme="majorHAnsi"/>
          <w:szCs w:val="24"/>
        </w:rPr>
        <w:t>wants</w:t>
      </w:r>
      <w:r w:rsidR="00AD0E12" w:rsidRPr="00AD0E12">
        <w:rPr>
          <w:rFonts w:asciiTheme="majorHAnsi" w:hAnsiTheme="majorHAnsi" w:cstheme="majorHAnsi"/>
          <w:szCs w:val="24"/>
        </w:rPr>
        <w:t xml:space="preserve"> </w:t>
      </w:r>
      <w:r w:rsidRPr="00AD0E12">
        <w:rPr>
          <w:rFonts w:asciiTheme="majorHAnsi" w:hAnsiTheme="majorHAnsi" w:cstheme="majorHAnsi"/>
          <w:szCs w:val="24"/>
        </w:rPr>
        <w:t xml:space="preserve">consumers </w:t>
      </w:r>
      <w:r w:rsidR="00AD0E12">
        <w:rPr>
          <w:rFonts w:asciiTheme="majorHAnsi" w:hAnsiTheme="majorHAnsi" w:cstheme="majorHAnsi"/>
          <w:szCs w:val="24"/>
        </w:rPr>
        <w:t>to be on guard against</w:t>
      </w:r>
      <w:r w:rsidR="00AD0E12" w:rsidRPr="00AD0E12">
        <w:rPr>
          <w:rFonts w:asciiTheme="majorHAnsi" w:hAnsiTheme="majorHAnsi" w:cstheme="majorHAnsi"/>
          <w:szCs w:val="24"/>
        </w:rPr>
        <w:t xml:space="preserve"> </w:t>
      </w:r>
      <w:r w:rsidRPr="00AD0E12">
        <w:rPr>
          <w:rFonts w:asciiTheme="majorHAnsi" w:hAnsiTheme="majorHAnsi" w:cstheme="majorHAnsi"/>
          <w:szCs w:val="24"/>
        </w:rPr>
        <w:t>affinity fraud and properly research investment opportunit</w:t>
      </w:r>
      <w:r w:rsidR="00AD0E12">
        <w:rPr>
          <w:rFonts w:asciiTheme="majorHAnsi" w:hAnsiTheme="majorHAnsi" w:cstheme="majorHAnsi"/>
          <w:szCs w:val="24"/>
        </w:rPr>
        <w:t>ies</w:t>
      </w:r>
      <w:r w:rsidRPr="00AD0E12">
        <w:rPr>
          <w:rFonts w:asciiTheme="majorHAnsi" w:hAnsiTheme="majorHAnsi" w:cstheme="majorHAnsi"/>
          <w:szCs w:val="24"/>
        </w:rPr>
        <w:t xml:space="preserve">. </w:t>
      </w:r>
    </w:p>
    <w:p w14:paraId="6BC5A884" w14:textId="77777777" w:rsidR="007E1808" w:rsidRPr="00AD0E12" w:rsidRDefault="007E1808" w:rsidP="007E1808">
      <w:pPr>
        <w:rPr>
          <w:rFonts w:asciiTheme="majorHAnsi" w:hAnsiTheme="majorHAnsi" w:cstheme="majorHAnsi"/>
          <w:spacing w:val="20"/>
          <w:szCs w:val="24"/>
        </w:rPr>
      </w:pPr>
    </w:p>
    <w:p w14:paraId="18DEBB7A" w14:textId="77777777" w:rsidR="007E1808" w:rsidRPr="00AD0E12" w:rsidRDefault="007E1808" w:rsidP="007E1808">
      <w:pPr>
        <w:rPr>
          <w:rFonts w:asciiTheme="majorHAnsi" w:hAnsiTheme="majorHAnsi" w:cstheme="majorHAnsi"/>
          <w:b/>
          <w:color w:val="00467F"/>
          <w:sz w:val="28"/>
          <w:szCs w:val="28"/>
        </w:rPr>
      </w:pPr>
      <w:r w:rsidRPr="00AD0E12">
        <w:rPr>
          <w:rFonts w:asciiTheme="majorHAnsi" w:hAnsiTheme="majorHAnsi" w:cstheme="majorHAnsi"/>
          <w:b/>
          <w:color w:val="00467F"/>
          <w:sz w:val="28"/>
          <w:szCs w:val="28"/>
        </w:rPr>
        <w:t xml:space="preserve">How do they do it? </w:t>
      </w:r>
    </w:p>
    <w:p w14:paraId="33CB03F9" w14:textId="0D8D5CF5" w:rsidR="007E1808" w:rsidRPr="00AD0E12" w:rsidRDefault="007E1808" w:rsidP="00B6131A">
      <w:pPr>
        <w:rPr>
          <w:rFonts w:asciiTheme="majorHAnsi" w:hAnsiTheme="majorHAnsi" w:cstheme="majorHAnsi"/>
          <w:szCs w:val="24"/>
        </w:rPr>
      </w:pPr>
      <w:r w:rsidRPr="00AD0E12">
        <w:rPr>
          <w:rFonts w:asciiTheme="majorHAnsi" w:hAnsiTheme="majorHAnsi" w:cstheme="majorHAnsi"/>
          <w:szCs w:val="24"/>
        </w:rPr>
        <w:t xml:space="preserve">The </w:t>
      </w:r>
      <w:r w:rsidR="00DA7EBF">
        <w:rPr>
          <w:rFonts w:asciiTheme="majorHAnsi" w:hAnsiTheme="majorHAnsi" w:cstheme="majorHAnsi"/>
          <w:szCs w:val="24"/>
        </w:rPr>
        <w:t>criminals behind</w:t>
      </w:r>
      <w:r w:rsidRPr="00AD0E12">
        <w:rPr>
          <w:rFonts w:asciiTheme="majorHAnsi" w:hAnsiTheme="majorHAnsi" w:cstheme="majorHAnsi"/>
          <w:szCs w:val="24"/>
        </w:rPr>
        <w:t xml:space="preserve"> affinity fraud commonly are—or pretend to be—members of the group they are trying to scam. They </w:t>
      </w:r>
      <w:r w:rsidR="00425D62">
        <w:rPr>
          <w:rFonts w:asciiTheme="majorHAnsi" w:hAnsiTheme="majorHAnsi" w:cstheme="majorHAnsi"/>
          <w:szCs w:val="24"/>
        </w:rPr>
        <w:t>exploit</w:t>
      </w:r>
      <w:r w:rsidRPr="00AD0E12">
        <w:rPr>
          <w:rFonts w:asciiTheme="majorHAnsi" w:hAnsiTheme="majorHAnsi" w:cstheme="majorHAnsi"/>
          <w:szCs w:val="24"/>
        </w:rPr>
        <w:t xml:space="preserve"> the faith, love, trust, and friendships that exist in groups of people who have something in common. </w:t>
      </w:r>
    </w:p>
    <w:p w14:paraId="0E643A55" w14:textId="77777777" w:rsidR="007E1808" w:rsidRPr="00AD0E12" w:rsidRDefault="007E1808" w:rsidP="00B6131A">
      <w:pPr>
        <w:rPr>
          <w:rFonts w:asciiTheme="majorHAnsi" w:hAnsiTheme="majorHAnsi" w:cstheme="majorHAnsi"/>
          <w:szCs w:val="24"/>
        </w:rPr>
      </w:pPr>
      <w:r w:rsidRPr="00AD0E12">
        <w:rPr>
          <w:rFonts w:asciiTheme="majorHAnsi" w:hAnsiTheme="majorHAnsi" w:cstheme="majorHAnsi"/>
          <w:szCs w:val="24"/>
        </w:rPr>
        <w:t xml:space="preserve"> </w:t>
      </w:r>
    </w:p>
    <w:p w14:paraId="361E7E4F" w14:textId="011F8CD2" w:rsidR="007E1808" w:rsidRPr="00AD0E12" w:rsidRDefault="007E1808" w:rsidP="00B6131A">
      <w:pPr>
        <w:rPr>
          <w:rFonts w:asciiTheme="majorHAnsi" w:hAnsiTheme="majorHAnsi" w:cstheme="majorHAnsi"/>
          <w:szCs w:val="24"/>
        </w:rPr>
      </w:pPr>
      <w:r w:rsidRPr="00AD0E12">
        <w:rPr>
          <w:rFonts w:asciiTheme="majorHAnsi" w:hAnsiTheme="majorHAnsi" w:cstheme="majorHAnsi"/>
          <w:szCs w:val="24"/>
        </w:rPr>
        <w:t xml:space="preserve">Affinity fraud is often associated with Ponzi or pyramid schemes. These schemes give </w:t>
      </w:r>
      <w:r w:rsidR="00F2643C" w:rsidRPr="002F0794">
        <w:rPr>
          <w:rFonts w:asciiTheme="majorHAnsi" w:hAnsiTheme="majorHAnsi" w:cstheme="majorHAnsi"/>
          <w:szCs w:val="24"/>
        </w:rPr>
        <w:t>an illusion</w:t>
      </w:r>
      <w:r w:rsidRPr="00AD0E12">
        <w:rPr>
          <w:rFonts w:asciiTheme="majorHAnsi" w:hAnsiTheme="majorHAnsi" w:cstheme="majorHAnsi"/>
          <w:szCs w:val="24"/>
        </w:rPr>
        <w:t xml:space="preserve"> that the investment is successful by raising money from new investors to make payments to earlier investors. The con artists want you, the investor, to believe your investment is safe so you will reinvest or encourage others to invest. </w:t>
      </w:r>
    </w:p>
    <w:p w14:paraId="4AE075B7" w14:textId="77777777" w:rsidR="007E1808" w:rsidRPr="00AD0E12" w:rsidRDefault="007E1808" w:rsidP="007E1808">
      <w:pPr>
        <w:rPr>
          <w:rFonts w:asciiTheme="majorHAnsi" w:hAnsiTheme="majorHAnsi" w:cstheme="majorHAnsi"/>
          <w:spacing w:val="20"/>
          <w:szCs w:val="24"/>
        </w:rPr>
      </w:pPr>
    </w:p>
    <w:p w14:paraId="2010BF3B" w14:textId="77777777" w:rsidR="007E1808" w:rsidRPr="00AD0E12" w:rsidRDefault="007E1808" w:rsidP="007E1808">
      <w:pPr>
        <w:rPr>
          <w:rFonts w:asciiTheme="majorHAnsi" w:hAnsiTheme="majorHAnsi" w:cstheme="majorHAnsi"/>
          <w:spacing w:val="20"/>
          <w:sz w:val="28"/>
          <w:szCs w:val="28"/>
        </w:rPr>
      </w:pPr>
      <w:r w:rsidRPr="00AD0E12">
        <w:rPr>
          <w:rFonts w:asciiTheme="majorHAnsi" w:hAnsiTheme="majorHAnsi" w:cstheme="majorHAnsi"/>
          <w:b/>
          <w:color w:val="00467F"/>
          <w:sz w:val="28"/>
          <w:szCs w:val="28"/>
        </w:rPr>
        <w:t>Ways to avoid being a victim</w:t>
      </w:r>
    </w:p>
    <w:p w14:paraId="30A1EA11" w14:textId="76B9682A" w:rsidR="007E1808" w:rsidRPr="00AD0E12" w:rsidRDefault="00CD1FC9"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t>Sense of duty.</w:t>
      </w:r>
      <w:r w:rsidRPr="002F0794">
        <w:rPr>
          <w:rFonts w:asciiTheme="majorHAnsi" w:hAnsiTheme="majorHAnsi" w:cstheme="majorHAnsi"/>
          <w:szCs w:val="24"/>
        </w:rPr>
        <w:t xml:space="preserve"> </w:t>
      </w:r>
      <w:r w:rsidR="007E1808" w:rsidRPr="00AD0E12">
        <w:rPr>
          <w:rFonts w:asciiTheme="majorHAnsi" w:hAnsiTheme="majorHAnsi" w:cstheme="majorHAnsi"/>
          <w:szCs w:val="24"/>
        </w:rPr>
        <w:t>Beware of investment opportunities that are based on</w:t>
      </w:r>
      <w:r w:rsidR="00AD0E12">
        <w:rPr>
          <w:rFonts w:asciiTheme="majorHAnsi" w:hAnsiTheme="majorHAnsi" w:cstheme="majorHAnsi"/>
          <w:szCs w:val="24"/>
        </w:rPr>
        <w:t>,</w:t>
      </w:r>
      <w:r w:rsidR="007E1808" w:rsidRPr="00AD0E12">
        <w:rPr>
          <w:rFonts w:asciiTheme="majorHAnsi" w:hAnsiTheme="majorHAnsi" w:cstheme="majorHAnsi"/>
          <w:szCs w:val="24"/>
        </w:rPr>
        <w:t xml:space="preserve"> or challenge</w:t>
      </w:r>
      <w:r w:rsidR="00AD0E12">
        <w:rPr>
          <w:rFonts w:asciiTheme="majorHAnsi" w:hAnsiTheme="majorHAnsi" w:cstheme="majorHAnsi"/>
          <w:szCs w:val="24"/>
        </w:rPr>
        <w:t>,</w:t>
      </w:r>
      <w:r w:rsidR="007E1808" w:rsidRPr="00AD0E12">
        <w:rPr>
          <w:rFonts w:asciiTheme="majorHAnsi" w:hAnsiTheme="majorHAnsi" w:cstheme="majorHAnsi"/>
          <w:szCs w:val="24"/>
        </w:rPr>
        <w:t xml:space="preserve"> </w:t>
      </w:r>
      <w:r w:rsidR="00050C2B" w:rsidRPr="002F0794">
        <w:rPr>
          <w:rFonts w:asciiTheme="majorHAnsi" w:hAnsiTheme="majorHAnsi" w:cstheme="majorHAnsi"/>
          <w:szCs w:val="24"/>
        </w:rPr>
        <w:t>your</w:t>
      </w:r>
      <w:r w:rsidR="00050C2B" w:rsidRPr="00AD0E12">
        <w:rPr>
          <w:rFonts w:asciiTheme="majorHAnsi" w:hAnsiTheme="majorHAnsi" w:cstheme="majorHAnsi"/>
          <w:szCs w:val="24"/>
        </w:rPr>
        <w:t xml:space="preserve"> </w:t>
      </w:r>
      <w:r w:rsidR="007E1808" w:rsidRPr="00AD0E12">
        <w:rPr>
          <w:rFonts w:asciiTheme="majorHAnsi" w:hAnsiTheme="majorHAnsi" w:cstheme="majorHAnsi"/>
          <w:szCs w:val="24"/>
        </w:rPr>
        <w:t xml:space="preserve">faith or obligation to give because of religious beliefs or interest in advancing </w:t>
      </w:r>
      <w:r w:rsidR="00050C2B" w:rsidRPr="002F0794">
        <w:rPr>
          <w:rFonts w:asciiTheme="majorHAnsi" w:hAnsiTheme="majorHAnsi" w:cstheme="majorHAnsi"/>
          <w:szCs w:val="24"/>
        </w:rPr>
        <w:t>your</w:t>
      </w:r>
      <w:r w:rsidR="00E45B61" w:rsidRPr="00AD0E12">
        <w:rPr>
          <w:rFonts w:asciiTheme="majorHAnsi" w:hAnsiTheme="majorHAnsi" w:cstheme="majorHAnsi"/>
          <w:szCs w:val="24"/>
        </w:rPr>
        <w:t xml:space="preserve"> </w:t>
      </w:r>
      <w:r w:rsidR="007E1808" w:rsidRPr="00AD0E12">
        <w:rPr>
          <w:rFonts w:asciiTheme="majorHAnsi" w:hAnsiTheme="majorHAnsi" w:cstheme="majorHAnsi"/>
          <w:szCs w:val="24"/>
        </w:rPr>
        <w:t xml:space="preserve">group. </w:t>
      </w:r>
    </w:p>
    <w:p w14:paraId="059E2ACC" w14:textId="78A947FB" w:rsidR="007E1808" w:rsidRPr="00AD0E12" w:rsidRDefault="00C30F00"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t>Trust but verify.</w:t>
      </w:r>
      <w:r w:rsidRPr="002F0794">
        <w:rPr>
          <w:rFonts w:asciiTheme="majorHAnsi" w:hAnsiTheme="majorHAnsi" w:cstheme="majorHAnsi"/>
          <w:szCs w:val="24"/>
        </w:rPr>
        <w:t xml:space="preserve"> </w:t>
      </w:r>
      <w:r w:rsidR="007E1808" w:rsidRPr="00AD0E12">
        <w:rPr>
          <w:rFonts w:asciiTheme="majorHAnsi" w:hAnsiTheme="majorHAnsi" w:cstheme="majorHAnsi"/>
          <w:szCs w:val="24"/>
        </w:rPr>
        <w:t xml:space="preserve">Check out everything before you invest. Never make an investment decision that is based </w:t>
      </w:r>
      <w:r w:rsidR="003418ED" w:rsidRPr="002F0794">
        <w:rPr>
          <w:rFonts w:asciiTheme="majorHAnsi" w:hAnsiTheme="majorHAnsi" w:cstheme="majorHAnsi"/>
          <w:szCs w:val="24"/>
        </w:rPr>
        <w:t xml:space="preserve">on testimonials or endorsements from other group members. </w:t>
      </w:r>
      <w:r w:rsidR="00AD0E12">
        <w:rPr>
          <w:rFonts w:asciiTheme="majorHAnsi" w:hAnsiTheme="majorHAnsi" w:cstheme="majorHAnsi"/>
          <w:szCs w:val="24"/>
        </w:rPr>
        <w:t>I</w:t>
      </w:r>
      <w:r w:rsidR="007E1808" w:rsidRPr="00AD0E12">
        <w:rPr>
          <w:rFonts w:asciiTheme="majorHAnsi" w:hAnsiTheme="majorHAnsi" w:cstheme="majorHAnsi"/>
          <w:szCs w:val="24"/>
        </w:rPr>
        <w:t xml:space="preserve">nvestigate offers thoroughly. </w:t>
      </w:r>
    </w:p>
    <w:p w14:paraId="1FDC7A06" w14:textId="2132E2CF" w:rsidR="007E1808" w:rsidRPr="00AD0E12" w:rsidRDefault="003418ED"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t>Too good to be true.</w:t>
      </w:r>
      <w:r w:rsidRPr="002F0794">
        <w:rPr>
          <w:rFonts w:asciiTheme="majorHAnsi" w:hAnsiTheme="majorHAnsi" w:cstheme="majorHAnsi"/>
          <w:szCs w:val="24"/>
        </w:rPr>
        <w:t xml:space="preserve"> </w:t>
      </w:r>
      <w:r w:rsidR="007E1808" w:rsidRPr="00AD0E12">
        <w:rPr>
          <w:rFonts w:asciiTheme="majorHAnsi" w:hAnsiTheme="majorHAnsi" w:cstheme="majorHAnsi"/>
          <w:szCs w:val="24"/>
        </w:rPr>
        <w:t xml:space="preserve">Do not fall for investments that promise spectacular profits </w:t>
      </w:r>
      <w:r w:rsidR="00BA7494" w:rsidRPr="002F0794">
        <w:rPr>
          <w:rFonts w:asciiTheme="majorHAnsi" w:hAnsiTheme="majorHAnsi" w:cstheme="majorHAnsi"/>
          <w:szCs w:val="24"/>
        </w:rPr>
        <w:t xml:space="preserve">in a </w:t>
      </w:r>
      <w:r w:rsidR="00A22C57" w:rsidRPr="002F0794">
        <w:rPr>
          <w:rFonts w:asciiTheme="majorHAnsi" w:hAnsiTheme="majorHAnsi" w:cstheme="majorHAnsi"/>
          <w:szCs w:val="24"/>
        </w:rPr>
        <w:t xml:space="preserve">short period of time </w:t>
      </w:r>
      <w:r w:rsidR="007E1808" w:rsidRPr="00AD0E12">
        <w:rPr>
          <w:rFonts w:asciiTheme="majorHAnsi" w:hAnsiTheme="majorHAnsi" w:cstheme="majorHAnsi"/>
          <w:szCs w:val="24"/>
        </w:rPr>
        <w:t>or guaranteed returns. If an investment seems too good to be true, then it probably is. Generally, the greater the potential return the investment offers, the greater the risk of losing money.</w:t>
      </w:r>
    </w:p>
    <w:p w14:paraId="68420E92" w14:textId="182EC7DE" w:rsidR="007E1808" w:rsidRPr="00AD0E12" w:rsidRDefault="008966FE"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t>Legitimate business.</w:t>
      </w:r>
      <w:r w:rsidRPr="002F0794">
        <w:rPr>
          <w:rFonts w:asciiTheme="majorHAnsi" w:hAnsiTheme="majorHAnsi" w:cstheme="majorHAnsi"/>
          <w:szCs w:val="24"/>
        </w:rPr>
        <w:t xml:space="preserve"> </w:t>
      </w:r>
      <w:r w:rsidR="007E1808" w:rsidRPr="00AD0E12">
        <w:rPr>
          <w:rFonts w:asciiTheme="majorHAnsi" w:hAnsiTheme="majorHAnsi" w:cstheme="majorHAnsi"/>
          <w:szCs w:val="24"/>
        </w:rPr>
        <w:t xml:space="preserve">Be skeptical of any investment that is not fully documented in writing. Avoid an investment if you are told there is insufficient time to reduce the details or terms to writing. Also, you should be suspicious if you are told to keep the investment opportunity to yourself. </w:t>
      </w:r>
    </w:p>
    <w:p w14:paraId="4935E170" w14:textId="18DADBBC" w:rsidR="007E1808" w:rsidRPr="00AD0E12" w:rsidRDefault="008966FE"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lastRenderedPageBreak/>
        <w:t>Slow down.</w:t>
      </w:r>
      <w:r w:rsidRPr="002F0794">
        <w:rPr>
          <w:rFonts w:asciiTheme="majorHAnsi" w:hAnsiTheme="majorHAnsi" w:cstheme="majorHAnsi"/>
          <w:szCs w:val="24"/>
        </w:rPr>
        <w:t xml:space="preserve"> </w:t>
      </w:r>
      <w:r w:rsidR="007E1808" w:rsidRPr="00AD0E12">
        <w:rPr>
          <w:rFonts w:asciiTheme="majorHAnsi" w:hAnsiTheme="majorHAnsi" w:cstheme="majorHAnsi"/>
          <w:szCs w:val="24"/>
        </w:rPr>
        <w:t>Don’t be pressured or rushed into an investment before you have a chance to think about it and investigate it. Watch out for investments that are pitched as once-in-a-lifetime opportunities, especially when the promoter bases the recommendation on inside or confidentia</w:t>
      </w:r>
      <w:r w:rsidRPr="002F0794">
        <w:rPr>
          <w:rFonts w:asciiTheme="majorHAnsi" w:hAnsiTheme="majorHAnsi" w:cstheme="majorHAnsi"/>
          <w:szCs w:val="24"/>
        </w:rPr>
        <w:t>l</w:t>
      </w:r>
      <w:r w:rsidR="007E1808" w:rsidRPr="00AD0E12">
        <w:rPr>
          <w:rFonts w:asciiTheme="majorHAnsi" w:hAnsiTheme="majorHAnsi" w:cstheme="majorHAnsi"/>
          <w:szCs w:val="24"/>
        </w:rPr>
        <w:t xml:space="preserve"> information. </w:t>
      </w:r>
    </w:p>
    <w:p w14:paraId="33165CD5" w14:textId="14534D60" w:rsidR="007E1808" w:rsidRPr="00AD0E12" w:rsidRDefault="006B4BBB" w:rsidP="00B6131A">
      <w:pPr>
        <w:pStyle w:val="ListParagraph"/>
        <w:numPr>
          <w:ilvl w:val="0"/>
          <w:numId w:val="6"/>
        </w:numPr>
        <w:rPr>
          <w:rFonts w:asciiTheme="majorHAnsi" w:hAnsiTheme="majorHAnsi" w:cstheme="majorHAnsi"/>
          <w:szCs w:val="24"/>
        </w:rPr>
      </w:pPr>
      <w:r w:rsidRPr="00AD0E12">
        <w:rPr>
          <w:rFonts w:asciiTheme="majorHAnsi" w:hAnsiTheme="majorHAnsi" w:cstheme="majorHAnsi"/>
          <w:b/>
          <w:szCs w:val="24"/>
        </w:rPr>
        <w:t>Ask for a second opinion.</w:t>
      </w:r>
      <w:r w:rsidRPr="002F0794">
        <w:rPr>
          <w:rFonts w:asciiTheme="majorHAnsi" w:hAnsiTheme="majorHAnsi" w:cstheme="majorHAnsi"/>
          <w:szCs w:val="24"/>
        </w:rPr>
        <w:t xml:space="preserve"> </w:t>
      </w:r>
      <w:r w:rsidR="007E1808" w:rsidRPr="00AD0E12">
        <w:rPr>
          <w:rFonts w:asciiTheme="majorHAnsi" w:hAnsiTheme="majorHAnsi" w:cstheme="majorHAnsi"/>
          <w:szCs w:val="24"/>
        </w:rPr>
        <w:t xml:space="preserve">Seek professional advice by asking a neutral outside expert </w:t>
      </w:r>
      <w:r w:rsidR="00AD0E12">
        <w:rPr>
          <w:rFonts w:asciiTheme="majorHAnsi" w:hAnsiTheme="majorHAnsi" w:cstheme="majorHAnsi"/>
          <w:szCs w:val="24"/>
        </w:rPr>
        <w:t xml:space="preserve">who is </w:t>
      </w:r>
      <w:r w:rsidR="007E1808" w:rsidRPr="00AD0E12">
        <w:rPr>
          <w:rFonts w:asciiTheme="majorHAnsi" w:hAnsiTheme="majorHAnsi" w:cstheme="majorHAnsi"/>
          <w:szCs w:val="24"/>
        </w:rPr>
        <w:t>not in your group—</w:t>
      </w:r>
      <w:r w:rsidR="00AD0E12">
        <w:rPr>
          <w:rFonts w:asciiTheme="majorHAnsi" w:hAnsiTheme="majorHAnsi" w:cstheme="majorHAnsi"/>
          <w:szCs w:val="24"/>
        </w:rPr>
        <w:t xml:space="preserve">an </w:t>
      </w:r>
      <w:r w:rsidR="007E1808" w:rsidRPr="00AD0E12">
        <w:rPr>
          <w:rFonts w:asciiTheme="majorHAnsi" w:hAnsiTheme="majorHAnsi" w:cstheme="majorHAnsi"/>
          <w:szCs w:val="24"/>
        </w:rPr>
        <w:t xml:space="preserve">attorney, accountant, banker, stockbroker or financial planner—to evaluate the investment. </w:t>
      </w:r>
    </w:p>
    <w:p w14:paraId="7BF4145E" w14:textId="77777777" w:rsidR="007E1808" w:rsidRPr="00AD0E12" w:rsidRDefault="007E1808" w:rsidP="00B31E27">
      <w:pPr>
        <w:pStyle w:val="ListParagraph"/>
        <w:rPr>
          <w:rFonts w:asciiTheme="majorHAnsi" w:hAnsiTheme="majorHAnsi" w:cstheme="majorHAnsi"/>
          <w:spacing w:val="20"/>
          <w:szCs w:val="24"/>
        </w:rPr>
      </w:pPr>
    </w:p>
    <w:p w14:paraId="5DBE54CE" w14:textId="77777777" w:rsidR="007E1808" w:rsidRPr="00AD0E12" w:rsidRDefault="007E1808" w:rsidP="007E1808">
      <w:pPr>
        <w:rPr>
          <w:rFonts w:asciiTheme="majorHAnsi" w:hAnsiTheme="majorHAnsi" w:cstheme="majorHAnsi"/>
          <w:spacing w:val="20"/>
          <w:sz w:val="28"/>
          <w:szCs w:val="28"/>
        </w:rPr>
      </w:pPr>
      <w:r w:rsidRPr="00AD0E12">
        <w:rPr>
          <w:rFonts w:asciiTheme="majorHAnsi" w:hAnsiTheme="majorHAnsi" w:cstheme="majorHAnsi"/>
          <w:b/>
          <w:color w:val="00467F"/>
          <w:sz w:val="28"/>
          <w:szCs w:val="28"/>
        </w:rPr>
        <w:t>Questions to ask before investing</w:t>
      </w:r>
    </w:p>
    <w:p w14:paraId="5C2085CB" w14:textId="77777777" w:rsidR="006C433E" w:rsidRPr="002F0794" w:rsidRDefault="007E1808" w:rsidP="00B6131A">
      <w:pPr>
        <w:pStyle w:val="ListParagraph"/>
        <w:numPr>
          <w:ilvl w:val="0"/>
          <w:numId w:val="7"/>
        </w:numPr>
        <w:rPr>
          <w:rFonts w:asciiTheme="majorHAnsi" w:hAnsiTheme="majorHAnsi" w:cstheme="majorHAnsi"/>
          <w:szCs w:val="24"/>
        </w:rPr>
      </w:pPr>
      <w:r w:rsidRPr="00AD0E12">
        <w:rPr>
          <w:rFonts w:asciiTheme="majorHAnsi" w:hAnsiTheme="majorHAnsi" w:cstheme="majorHAnsi"/>
          <w:szCs w:val="24"/>
        </w:rPr>
        <w:t>Is the seller licensed? Is the investment registered in the District of Columbia</w:t>
      </w:r>
      <w:r w:rsidR="00B6131A" w:rsidRPr="00AD0E12">
        <w:rPr>
          <w:rFonts w:asciiTheme="majorHAnsi" w:hAnsiTheme="majorHAnsi" w:cstheme="majorHAnsi"/>
          <w:szCs w:val="24"/>
        </w:rPr>
        <w:t>?</w:t>
      </w:r>
    </w:p>
    <w:p w14:paraId="79B5DFF2" w14:textId="1F2C6A94" w:rsidR="006C433E" w:rsidRPr="00AD0E12" w:rsidRDefault="00B6131A">
      <w:pPr>
        <w:pStyle w:val="ListParagraph"/>
        <w:rPr>
          <w:rFonts w:asciiTheme="majorHAnsi" w:hAnsiTheme="majorHAnsi" w:cstheme="majorHAnsi"/>
          <w:szCs w:val="24"/>
        </w:rPr>
      </w:pPr>
      <w:r w:rsidRPr="00AD0E12">
        <w:rPr>
          <w:rFonts w:asciiTheme="majorHAnsi" w:hAnsiTheme="majorHAnsi" w:cstheme="majorHAnsi"/>
          <w:szCs w:val="24"/>
        </w:rPr>
        <w:t>To find out, call DISB at 202-727-</w:t>
      </w:r>
      <w:r w:rsidR="007E1808" w:rsidRPr="00AD0E12">
        <w:rPr>
          <w:rFonts w:asciiTheme="majorHAnsi" w:hAnsiTheme="majorHAnsi" w:cstheme="majorHAnsi"/>
          <w:szCs w:val="24"/>
        </w:rPr>
        <w:t>8000.</w:t>
      </w:r>
      <w:r w:rsidR="00E7794A" w:rsidRPr="002F0794">
        <w:rPr>
          <w:rFonts w:asciiTheme="majorHAnsi" w:hAnsiTheme="majorHAnsi" w:cstheme="majorHAnsi"/>
          <w:szCs w:val="24"/>
        </w:rPr>
        <w:t xml:space="preserve"> According to District of Columbia law, securities to raise funds for any nonprofit organization must be filed with DISB. This measure provides an opportunity for DISB to review offerings for appropriate disclosure. </w:t>
      </w:r>
    </w:p>
    <w:p w14:paraId="43CC3380" w14:textId="4CBD4BAF" w:rsidR="007E1808" w:rsidRPr="00AD0E12" w:rsidRDefault="007E1808" w:rsidP="00B6131A">
      <w:pPr>
        <w:pStyle w:val="ListParagraph"/>
        <w:numPr>
          <w:ilvl w:val="0"/>
          <w:numId w:val="7"/>
        </w:numPr>
        <w:rPr>
          <w:rFonts w:asciiTheme="majorHAnsi" w:hAnsiTheme="majorHAnsi" w:cstheme="majorHAnsi"/>
          <w:szCs w:val="24"/>
        </w:rPr>
      </w:pPr>
      <w:r w:rsidRPr="00AD0E12">
        <w:rPr>
          <w:rFonts w:asciiTheme="majorHAnsi" w:hAnsiTheme="majorHAnsi" w:cstheme="majorHAnsi"/>
          <w:szCs w:val="24"/>
        </w:rPr>
        <w:t>Has the seller given you written information that fully explains the investment?</w:t>
      </w:r>
      <w:r w:rsidR="00A61F59" w:rsidRPr="002F0794">
        <w:rPr>
          <w:rFonts w:asciiTheme="majorHAnsi" w:hAnsiTheme="majorHAnsi" w:cstheme="majorHAnsi"/>
          <w:szCs w:val="24"/>
        </w:rPr>
        <w:t xml:space="preserve"> </w:t>
      </w:r>
    </w:p>
    <w:p w14:paraId="0BE08A3F" w14:textId="77777777" w:rsidR="007E1808" w:rsidRPr="00AD0E12" w:rsidRDefault="007E1808" w:rsidP="00B6131A">
      <w:pPr>
        <w:pStyle w:val="ListParagraph"/>
        <w:numPr>
          <w:ilvl w:val="0"/>
          <w:numId w:val="7"/>
        </w:numPr>
        <w:rPr>
          <w:rFonts w:asciiTheme="majorHAnsi" w:hAnsiTheme="majorHAnsi" w:cstheme="majorHAnsi"/>
          <w:szCs w:val="24"/>
        </w:rPr>
      </w:pPr>
      <w:r w:rsidRPr="00AD0E12">
        <w:rPr>
          <w:rFonts w:asciiTheme="majorHAnsi" w:hAnsiTheme="majorHAnsi" w:cstheme="majorHAnsi"/>
          <w:szCs w:val="24"/>
        </w:rPr>
        <w:t xml:space="preserve">Are claims made about the investment realistic? </w:t>
      </w:r>
    </w:p>
    <w:p w14:paraId="40245712" w14:textId="150D5E8C" w:rsidR="007E1808" w:rsidRPr="00AD0E12" w:rsidRDefault="007E1808" w:rsidP="00B6131A">
      <w:pPr>
        <w:pStyle w:val="ListParagraph"/>
        <w:numPr>
          <w:ilvl w:val="0"/>
          <w:numId w:val="7"/>
        </w:numPr>
        <w:rPr>
          <w:rFonts w:asciiTheme="majorHAnsi" w:hAnsiTheme="majorHAnsi" w:cstheme="majorHAnsi"/>
          <w:szCs w:val="24"/>
        </w:rPr>
      </w:pPr>
      <w:r w:rsidRPr="00AD0E12">
        <w:rPr>
          <w:rFonts w:asciiTheme="majorHAnsi" w:hAnsiTheme="majorHAnsi" w:cstheme="majorHAnsi"/>
          <w:szCs w:val="24"/>
        </w:rPr>
        <w:t xml:space="preserve">Does the investment meet your personal investment goals? </w:t>
      </w:r>
    </w:p>
    <w:p w14:paraId="4D2D329E" w14:textId="77777777" w:rsidR="007E1808" w:rsidRPr="00AD0E12" w:rsidRDefault="007E1808" w:rsidP="00B31E27">
      <w:pPr>
        <w:pStyle w:val="ListParagraph"/>
        <w:rPr>
          <w:rFonts w:asciiTheme="majorHAnsi" w:hAnsiTheme="majorHAnsi" w:cstheme="majorHAnsi"/>
          <w:spacing w:val="20"/>
          <w:szCs w:val="24"/>
        </w:rPr>
      </w:pPr>
    </w:p>
    <w:p w14:paraId="59FBB283" w14:textId="77777777" w:rsidR="007E1808" w:rsidRPr="00AD0E12" w:rsidRDefault="007E1808" w:rsidP="007E1808">
      <w:pPr>
        <w:rPr>
          <w:rFonts w:asciiTheme="majorHAnsi" w:hAnsiTheme="majorHAnsi" w:cstheme="majorHAnsi"/>
          <w:spacing w:val="20"/>
          <w:sz w:val="28"/>
          <w:szCs w:val="28"/>
        </w:rPr>
      </w:pPr>
      <w:r w:rsidRPr="00AD0E12">
        <w:rPr>
          <w:rFonts w:asciiTheme="majorHAnsi" w:hAnsiTheme="majorHAnsi" w:cstheme="majorHAnsi"/>
          <w:b/>
          <w:color w:val="00467F"/>
          <w:sz w:val="28"/>
          <w:szCs w:val="28"/>
        </w:rPr>
        <w:t>More information and how to file a complaint</w:t>
      </w:r>
    </w:p>
    <w:p w14:paraId="27FC20A3" w14:textId="77777777" w:rsidR="007E1808" w:rsidRPr="00AD0E12" w:rsidRDefault="007E1808" w:rsidP="00B6131A">
      <w:pPr>
        <w:rPr>
          <w:rFonts w:asciiTheme="majorHAnsi" w:hAnsiTheme="majorHAnsi" w:cstheme="majorHAnsi"/>
          <w:szCs w:val="24"/>
        </w:rPr>
      </w:pPr>
      <w:r w:rsidRPr="00AD0E12">
        <w:rPr>
          <w:rFonts w:asciiTheme="majorHAnsi" w:hAnsiTheme="majorHAnsi" w:cstheme="majorHAnsi"/>
          <w:szCs w:val="24"/>
        </w:rPr>
        <w:t>DISB works t</w:t>
      </w:r>
      <w:r w:rsidR="00F6415D" w:rsidRPr="00AD0E12">
        <w:rPr>
          <w:rFonts w:asciiTheme="majorHAnsi" w:hAnsiTheme="majorHAnsi" w:cstheme="majorHAnsi"/>
          <w:szCs w:val="24"/>
        </w:rPr>
        <w:t>o prevent fraudulent, deceptive</w:t>
      </w:r>
      <w:r w:rsidRPr="00AD0E12">
        <w:rPr>
          <w:rFonts w:asciiTheme="majorHAnsi" w:hAnsiTheme="majorHAnsi" w:cstheme="majorHAnsi"/>
          <w:szCs w:val="24"/>
        </w:rPr>
        <w:t xml:space="preserve"> and unfair business practices in the marketplace. Contact DISB if you have questions about the legitimacy of an investment opportunity or the person offering the inve</w:t>
      </w:r>
      <w:r w:rsidR="00F6415D" w:rsidRPr="00AD0E12">
        <w:rPr>
          <w:rFonts w:asciiTheme="majorHAnsi" w:hAnsiTheme="majorHAnsi" w:cstheme="majorHAnsi"/>
          <w:szCs w:val="24"/>
        </w:rPr>
        <w:t>stment. You can reach us at 202-727-</w:t>
      </w:r>
      <w:r w:rsidRPr="00AD0E12">
        <w:rPr>
          <w:rFonts w:asciiTheme="majorHAnsi" w:hAnsiTheme="majorHAnsi" w:cstheme="majorHAnsi"/>
          <w:szCs w:val="24"/>
        </w:rPr>
        <w:t>8000 or visit</w:t>
      </w:r>
      <w:r w:rsidR="00B6131A" w:rsidRPr="00AD0E12">
        <w:rPr>
          <w:rFonts w:asciiTheme="majorHAnsi" w:hAnsiTheme="majorHAnsi" w:cstheme="majorHAnsi"/>
          <w:szCs w:val="24"/>
        </w:rPr>
        <w:t xml:space="preserve"> </w:t>
      </w:r>
      <w:hyperlink r:id="rId11" w:history="1">
        <w:r w:rsidR="006C51EE" w:rsidRPr="00AD0E12">
          <w:rPr>
            <w:rStyle w:val="Hyperlink"/>
            <w:rFonts w:asciiTheme="majorHAnsi" w:hAnsiTheme="majorHAnsi" w:cstheme="majorHAnsi"/>
            <w:color w:val="00467F"/>
            <w:szCs w:val="24"/>
          </w:rPr>
          <w:t>disb.dc.gov</w:t>
        </w:r>
      </w:hyperlink>
      <w:r w:rsidR="00B6131A" w:rsidRPr="00AD0E12">
        <w:rPr>
          <w:rFonts w:asciiTheme="majorHAnsi" w:hAnsiTheme="majorHAnsi" w:cstheme="majorHAnsi"/>
          <w:szCs w:val="24"/>
        </w:rPr>
        <w:t>.</w:t>
      </w:r>
    </w:p>
    <w:p w14:paraId="0E7CC6EA" w14:textId="77777777" w:rsidR="007E1808" w:rsidRPr="00AD0E12" w:rsidRDefault="007E1808" w:rsidP="00B6131A">
      <w:pPr>
        <w:rPr>
          <w:rFonts w:asciiTheme="majorHAnsi" w:hAnsiTheme="majorHAnsi" w:cstheme="majorHAnsi"/>
          <w:spacing w:val="20"/>
          <w:szCs w:val="24"/>
        </w:rPr>
      </w:pPr>
      <w:r w:rsidRPr="00AD0E12">
        <w:rPr>
          <w:rFonts w:asciiTheme="majorHAnsi" w:hAnsiTheme="majorHAnsi" w:cstheme="majorHAnsi"/>
          <w:spacing w:val="20"/>
          <w:szCs w:val="24"/>
        </w:rPr>
        <w:t xml:space="preserve">  </w:t>
      </w:r>
    </w:p>
    <w:p w14:paraId="624F81E3" w14:textId="17415A2C" w:rsidR="002F0794" w:rsidRDefault="002F0794" w:rsidP="002F0794">
      <w:pPr>
        <w:rPr>
          <w:rFonts w:asciiTheme="majorHAnsi" w:hAnsiTheme="majorHAnsi" w:cstheme="majorHAnsi"/>
          <w:szCs w:val="24"/>
        </w:rPr>
      </w:pPr>
      <w:r w:rsidRPr="00AD0E12">
        <w:rPr>
          <w:rFonts w:asciiTheme="majorHAnsi" w:hAnsiTheme="majorHAnsi" w:cstheme="majorHAnsi"/>
          <w:b/>
          <w:color w:val="1F497D" w:themeColor="text2"/>
          <w:sz w:val="28"/>
          <w:szCs w:val="28"/>
        </w:rPr>
        <w:t>DISB Mission</w:t>
      </w:r>
      <w:r w:rsidRPr="00AD0E12">
        <w:rPr>
          <w:rFonts w:asciiTheme="majorHAnsi" w:hAnsiTheme="majorHAnsi" w:cstheme="majorHAnsi"/>
          <w:szCs w:val="24"/>
        </w:rPr>
        <w:br/>
        <w:t>Our mission is three-fold: (1) cultivate a regulatory environment that protects consumers and attracts and retains financial services firms to the District; (2) empower and educate residents; and (3) support the development and expansion of business.</w:t>
      </w:r>
    </w:p>
    <w:p w14:paraId="412CF60B" w14:textId="77777777" w:rsidR="00932B1D" w:rsidRPr="00AD0E12" w:rsidRDefault="00932B1D" w:rsidP="002F0794">
      <w:pPr>
        <w:rPr>
          <w:rFonts w:asciiTheme="majorHAnsi" w:hAnsiTheme="majorHAnsi" w:cstheme="majorHAnsi"/>
          <w:szCs w:val="24"/>
        </w:rPr>
      </w:pPr>
    </w:p>
    <w:p w14:paraId="1F36D588" w14:textId="77777777" w:rsidR="002F0794" w:rsidRPr="00AD0E12" w:rsidRDefault="002F0794" w:rsidP="002F0794">
      <w:pPr>
        <w:shd w:val="clear" w:color="auto" w:fill="FFFFFF"/>
        <w:rPr>
          <w:rFonts w:asciiTheme="majorHAnsi" w:hAnsiTheme="majorHAnsi" w:cstheme="majorHAnsi"/>
          <w:b/>
          <w:color w:val="1F497D" w:themeColor="text2"/>
          <w:sz w:val="28"/>
          <w:szCs w:val="28"/>
        </w:rPr>
      </w:pPr>
      <w:r w:rsidRPr="00AD0E12">
        <w:rPr>
          <w:rFonts w:asciiTheme="majorHAnsi" w:hAnsiTheme="majorHAnsi" w:cstheme="majorHAnsi"/>
          <w:b/>
          <w:color w:val="1F497D" w:themeColor="text2"/>
          <w:sz w:val="28"/>
          <w:szCs w:val="28"/>
        </w:rPr>
        <w:t>Social Media</w:t>
      </w:r>
    </w:p>
    <w:p w14:paraId="15AA83BF" w14:textId="77777777" w:rsidR="002F0794" w:rsidRPr="00AD0E12" w:rsidRDefault="002F0794" w:rsidP="002F0794">
      <w:pPr>
        <w:shd w:val="clear" w:color="auto" w:fill="FFFFFF"/>
        <w:rPr>
          <w:rFonts w:asciiTheme="majorHAnsi" w:hAnsiTheme="majorHAnsi" w:cstheme="majorHAnsi"/>
          <w:b/>
          <w:szCs w:val="24"/>
        </w:rPr>
      </w:pPr>
      <w:r w:rsidRPr="00AD0E12">
        <w:rPr>
          <w:rFonts w:asciiTheme="majorHAnsi" w:hAnsiTheme="majorHAnsi" w:cstheme="majorHAnsi"/>
          <w:szCs w:val="24"/>
        </w:rPr>
        <w:t xml:space="preserve">DISB Twitter: </w:t>
      </w:r>
      <w:hyperlink r:id="rId12" w:history="1">
        <w:r w:rsidRPr="00AD0E12">
          <w:rPr>
            <w:rStyle w:val="Hyperlink"/>
            <w:rFonts w:asciiTheme="majorHAnsi" w:hAnsiTheme="majorHAnsi" w:cstheme="majorHAnsi"/>
            <w:szCs w:val="24"/>
          </w:rPr>
          <w:t>@DCDISB</w:t>
        </w:r>
      </w:hyperlink>
    </w:p>
    <w:p w14:paraId="498CF8D9" w14:textId="77777777" w:rsidR="002F0794" w:rsidRPr="00AD0E12" w:rsidRDefault="002F0794" w:rsidP="002F0794">
      <w:pPr>
        <w:shd w:val="clear" w:color="auto" w:fill="FFFFFF"/>
        <w:rPr>
          <w:rFonts w:asciiTheme="majorHAnsi" w:hAnsiTheme="majorHAnsi" w:cstheme="majorHAnsi"/>
          <w:szCs w:val="24"/>
        </w:rPr>
      </w:pPr>
      <w:r w:rsidRPr="00AD0E12">
        <w:rPr>
          <w:rFonts w:asciiTheme="majorHAnsi" w:hAnsiTheme="majorHAnsi" w:cstheme="majorHAnsi"/>
          <w:szCs w:val="24"/>
        </w:rPr>
        <w:t xml:space="preserve">DISB Facebook: </w:t>
      </w:r>
      <w:hyperlink r:id="rId13" w:history="1">
        <w:r w:rsidRPr="00AD0E12">
          <w:rPr>
            <w:rStyle w:val="Hyperlink"/>
            <w:rFonts w:asciiTheme="majorHAnsi" w:hAnsiTheme="majorHAnsi" w:cstheme="majorHAnsi"/>
            <w:szCs w:val="24"/>
          </w:rPr>
          <w:t>facebook.com/DISBDC/</w:t>
        </w:r>
      </w:hyperlink>
    </w:p>
    <w:p w14:paraId="40337B18" w14:textId="77777777" w:rsidR="002F0794" w:rsidRPr="00AD0E12" w:rsidRDefault="002F0794" w:rsidP="002F0794">
      <w:pPr>
        <w:shd w:val="clear" w:color="auto" w:fill="FFFFFF"/>
        <w:rPr>
          <w:rFonts w:asciiTheme="majorHAnsi" w:hAnsiTheme="majorHAnsi" w:cstheme="majorHAnsi"/>
          <w:color w:val="000000"/>
          <w:szCs w:val="24"/>
        </w:rPr>
      </w:pPr>
      <w:r w:rsidRPr="00AD0E12">
        <w:rPr>
          <w:rFonts w:asciiTheme="majorHAnsi" w:hAnsiTheme="majorHAnsi" w:cstheme="majorHAnsi"/>
          <w:szCs w:val="24"/>
        </w:rPr>
        <w:t xml:space="preserve">DISB Website: </w:t>
      </w:r>
      <w:hyperlink r:id="rId14" w:history="1">
        <w:r w:rsidRPr="00AD0E12">
          <w:rPr>
            <w:rStyle w:val="Hyperlink"/>
            <w:rFonts w:asciiTheme="majorHAnsi" w:hAnsiTheme="majorHAnsi" w:cstheme="majorHAnsi"/>
            <w:szCs w:val="24"/>
          </w:rPr>
          <w:t>disb.dc.gov</w:t>
        </w:r>
      </w:hyperlink>
    </w:p>
    <w:p w14:paraId="63E7AD3D" w14:textId="0B2C4614" w:rsidR="007E1808" w:rsidRPr="00AD0E12" w:rsidRDefault="00CC0488" w:rsidP="007E1808">
      <w:pPr>
        <w:rPr>
          <w:rFonts w:asciiTheme="majorHAnsi" w:hAnsiTheme="majorHAnsi" w:cstheme="majorHAnsi"/>
          <w:i/>
          <w:szCs w:val="24"/>
        </w:rPr>
      </w:pPr>
      <w:r w:rsidRPr="00AD0E12">
        <w:rPr>
          <w:rFonts w:asciiTheme="majorHAnsi" w:hAnsiTheme="majorHAnsi" w:cstheme="majorHAnsi"/>
          <w:spacing w:val="20"/>
          <w:szCs w:val="24"/>
        </w:rPr>
        <w:br/>
      </w:r>
      <w:r w:rsidRPr="00AD0E12">
        <w:rPr>
          <w:rFonts w:asciiTheme="majorHAnsi" w:hAnsiTheme="majorHAnsi" w:cstheme="majorHAnsi"/>
          <w:spacing w:val="20"/>
          <w:szCs w:val="24"/>
        </w:rPr>
        <w:br/>
      </w:r>
      <w:r w:rsidR="007E1808" w:rsidRPr="00AD0E12">
        <w:rPr>
          <w:rFonts w:asciiTheme="majorHAnsi" w:hAnsiTheme="majorHAnsi" w:cstheme="majorHAnsi"/>
          <w:szCs w:val="24"/>
        </w:rPr>
        <w:t xml:space="preserve">Updated </w:t>
      </w:r>
      <w:r w:rsidR="005C407E" w:rsidRPr="002F0794">
        <w:rPr>
          <w:rFonts w:asciiTheme="majorHAnsi" w:hAnsiTheme="majorHAnsi" w:cstheme="majorHAnsi"/>
          <w:szCs w:val="24"/>
        </w:rPr>
        <w:t>November 27</w:t>
      </w:r>
      <w:r w:rsidR="002B3423" w:rsidRPr="00AD0E12">
        <w:rPr>
          <w:rFonts w:asciiTheme="majorHAnsi" w:hAnsiTheme="majorHAnsi" w:cstheme="majorHAnsi"/>
          <w:szCs w:val="24"/>
        </w:rPr>
        <w:t>, 201</w:t>
      </w:r>
      <w:r w:rsidR="005C407E" w:rsidRPr="002F0794">
        <w:rPr>
          <w:rFonts w:asciiTheme="majorHAnsi" w:hAnsiTheme="majorHAnsi" w:cstheme="majorHAnsi"/>
          <w:szCs w:val="24"/>
        </w:rPr>
        <w:t>9</w:t>
      </w:r>
    </w:p>
    <w:p w14:paraId="49EDD9C5" w14:textId="77777777" w:rsidR="007E1808" w:rsidRPr="00AD0E12" w:rsidRDefault="007E1808" w:rsidP="007E1808">
      <w:pPr>
        <w:rPr>
          <w:rFonts w:asciiTheme="majorHAnsi" w:hAnsiTheme="majorHAnsi" w:cstheme="majorHAnsi"/>
          <w:spacing w:val="20"/>
          <w:szCs w:val="24"/>
        </w:rPr>
      </w:pPr>
    </w:p>
    <w:p w14:paraId="44C847E3" w14:textId="77777777" w:rsidR="007E1808" w:rsidRPr="00AD0E12" w:rsidRDefault="007E1808" w:rsidP="007E1808">
      <w:pPr>
        <w:rPr>
          <w:rFonts w:asciiTheme="majorHAnsi" w:hAnsiTheme="majorHAnsi" w:cstheme="majorHAnsi"/>
          <w:szCs w:val="24"/>
        </w:rPr>
      </w:pPr>
    </w:p>
    <w:p w14:paraId="527AA9D4" w14:textId="77777777" w:rsidR="00305FDA" w:rsidRPr="00AD0E12" w:rsidRDefault="00305FDA" w:rsidP="005375B7">
      <w:pPr>
        <w:rPr>
          <w:rFonts w:asciiTheme="majorHAnsi" w:hAnsiTheme="majorHAnsi" w:cstheme="majorHAnsi"/>
          <w:szCs w:val="24"/>
        </w:rPr>
      </w:pPr>
    </w:p>
    <w:sectPr w:rsidR="00305FDA" w:rsidRPr="00AD0E12" w:rsidSect="00B22A37">
      <w:headerReference w:type="default" r:id="rId15"/>
      <w:headerReference w:type="first" r:id="rId16"/>
      <w:pgSz w:w="12240" w:h="15840" w:code="1"/>
      <w:pgMar w:top="1296" w:right="1080" w:bottom="1080" w:left="1080" w:header="39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AE2E" w14:textId="77777777" w:rsidR="0038465A" w:rsidRDefault="0038465A">
      <w:r>
        <w:separator/>
      </w:r>
    </w:p>
  </w:endnote>
  <w:endnote w:type="continuationSeparator" w:id="0">
    <w:p w14:paraId="5EEBF22A" w14:textId="77777777" w:rsidR="0038465A" w:rsidRDefault="0038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39C2" w14:textId="77777777" w:rsidR="0038465A" w:rsidRDefault="0038465A">
      <w:r>
        <w:separator/>
      </w:r>
    </w:p>
  </w:footnote>
  <w:footnote w:type="continuationSeparator" w:id="0">
    <w:p w14:paraId="6B1AAE29" w14:textId="77777777" w:rsidR="0038465A" w:rsidRDefault="0038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7126" w14:textId="77777777" w:rsidR="00894C8C" w:rsidRDefault="00894C8C" w:rsidP="006B65D6">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59EB" w14:textId="77777777" w:rsidR="009E5C1C" w:rsidRPr="00B22A37" w:rsidRDefault="009E5C1C">
    <w:pPr>
      <w:pStyle w:val="Header"/>
      <w:rPr>
        <w:sz w:val="16"/>
        <w:szCs w:val="16"/>
      </w:rPr>
    </w:pPr>
    <w:r w:rsidRPr="00B22A37">
      <w:rPr>
        <w:noProof/>
        <w:sz w:val="16"/>
        <w:szCs w:val="16"/>
      </w:rPr>
      <w:drawing>
        <wp:anchor distT="0" distB="0" distL="114300" distR="114300" simplePos="0" relativeHeight="251659264" behindDoc="1" locked="0" layoutInCell="1" allowOverlap="1" wp14:anchorId="08386915" wp14:editId="77240BBD">
          <wp:simplePos x="0" y="0"/>
          <wp:positionH relativeFrom="column">
            <wp:posOffset>-675450</wp:posOffset>
          </wp:positionH>
          <wp:positionV relativeFrom="paragraph">
            <wp:posOffset>-2501265</wp:posOffset>
          </wp:positionV>
          <wp:extent cx="7772400" cy="2511083"/>
          <wp:effectExtent l="0" t="0" r="0" b="0"/>
          <wp:wrapNone/>
          <wp:docPr id="3" name="Picture 3" descr="C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5110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752"/>
    <w:multiLevelType w:val="hybridMultilevel"/>
    <w:tmpl w:val="186E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D9165B"/>
    <w:multiLevelType w:val="multilevel"/>
    <w:tmpl w:val="958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46756"/>
    <w:multiLevelType w:val="hybridMultilevel"/>
    <w:tmpl w:val="598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33B3"/>
    <w:multiLevelType w:val="multilevel"/>
    <w:tmpl w:val="092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B09B6"/>
    <w:multiLevelType w:val="hybridMultilevel"/>
    <w:tmpl w:val="897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EE1"/>
    <w:multiLevelType w:val="hybridMultilevel"/>
    <w:tmpl w:val="5996459A"/>
    <w:lvl w:ilvl="0" w:tplc="04090001">
      <w:start w:val="1"/>
      <w:numFmt w:val="bullet"/>
      <w:lvlText w:val=""/>
      <w:lvlJc w:val="left"/>
      <w:pPr>
        <w:ind w:left="720" w:hanging="360"/>
      </w:pPr>
      <w:rPr>
        <w:rFonts w:ascii="Symbol" w:hAnsi="Symbol" w:hint="default"/>
      </w:rPr>
    </w:lvl>
    <w:lvl w:ilvl="1" w:tplc="65527352">
      <w:numFmt w:val="bullet"/>
      <w:lvlText w:val="•"/>
      <w:lvlJc w:val="left"/>
      <w:pPr>
        <w:ind w:left="1440" w:hanging="360"/>
      </w:pPr>
      <w:rPr>
        <w:rFonts w:ascii="Helvetica Narrow" w:eastAsiaTheme="minorHAnsi" w:hAnsi="Helvetica Narro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C549B0"/>
    <w:multiLevelType w:val="hybridMultilevel"/>
    <w:tmpl w:val="30E658A8"/>
    <w:lvl w:ilvl="0" w:tplc="75FA9AA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8C"/>
    <w:rsid w:val="00004CF7"/>
    <w:rsid w:val="00050C2B"/>
    <w:rsid w:val="000724F5"/>
    <w:rsid w:val="00120EED"/>
    <w:rsid w:val="0012570F"/>
    <w:rsid w:val="001953DE"/>
    <w:rsid w:val="002255BC"/>
    <w:rsid w:val="0023089C"/>
    <w:rsid w:val="00290476"/>
    <w:rsid w:val="002B3423"/>
    <w:rsid w:val="002C640A"/>
    <w:rsid w:val="002F0794"/>
    <w:rsid w:val="0030304D"/>
    <w:rsid w:val="00305FDA"/>
    <w:rsid w:val="003354E0"/>
    <w:rsid w:val="003418ED"/>
    <w:rsid w:val="00355C04"/>
    <w:rsid w:val="00356F0B"/>
    <w:rsid w:val="00365CBF"/>
    <w:rsid w:val="00375FC2"/>
    <w:rsid w:val="0038465A"/>
    <w:rsid w:val="00406742"/>
    <w:rsid w:val="00425D62"/>
    <w:rsid w:val="00472739"/>
    <w:rsid w:val="004912FE"/>
    <w:rsid w:val="00493C20"/>
    <w:rsid w:val="004A533E"/>
    <w:rsid w:val="004C60DE"/>
    <w:rsid w:val="004E1B5C"/>
    <w:rsid w:val="0051219E"/>
    <w:rsid w:val="00523F2E"/>
    <w:rsid w:val="00530928"/>
    <w:rsid w:val="005375B7"/>
    <w:rsid w:val="0058358B"/>
    <w:rsid w:val="005C407E"/>
    <w:rsid w:val="005D7220"/>
    <w:rsid w:val="005E12B1"/>
    <w:rsid w:val="005F5002"/>
    <w:rsid w:val="00601A0D"/>
    <w:rsid w:val="00603ECB"/>
    <w:rsid w:val="006434FC"/>
    <w:rsid w:val="00654860"/>
    <w:rsid w:val="006B4BBB"/>
    <w:rsid w:val="006B65D6"/>
    <w:rsid w:val="006C433E"/>
    <w:rsid w:val="006C51EE"/>
    <w:rsid w:val="006D2CBA"/>
    <w:rsid w:val="006D4D05"/>
    <w:rsid w:val="006F5E3F"/>
    <w:rsid w:val="007800DB"/>
    <w:rsid w:val="007E1808"/>
    <w:rsid w:val="007F2E68"/>
    <w:rsid w:val="008278DB"/>
    <w:rsid w:val="00844BD4"/>
    <w:rsid w:val="008474DE"/>
    <w:rsid w:val="00853C4F"/>
    <w:rsid w:val="00892B8F"/>
    <w:rsid w:val="00894C8C"/>
    <w:rsid w:val="008966FE"/>
    <w:rsid w:val="008B3C78"/>
    <w:rsid w:val="009064FB"/>
    <w:rsid w:val="00926966"/>
    <w:rsid w:val="00932B1D"/>
    <w:rsid w:val="00967064"/>
    <w:rsid w:val="00984DFD"/>
    <w:rsid w:val="009E0696"/>
    <w:rsid w:val="009E4B2C"/>
    <w:rsid w:val="009E5C1C"/>
    <w:rsid w:val="00A14A08"/>
    <w:rsid w:val="00A22C57"/>
    <w:rsid w:val="00A37A10"/>
    <w:rsid w:val="00A54B3D"/>
    <w:rsid w:val="00A61F59"/>
    <w:rsid w:val="00A878E3"/>
    <w:rsid w:val="00AA41C8"/>
    <w:rsid w:val="00AC612A"/>
    <w:rsid w:val="00AD0E12"/>
    <w:rsid w:val="00AE6FE0"/>
    <w:rsid w:val="00B15DDB"/>
    <w:rsid w:val="00B16BAD"/>
    <w:rsid w:val="00B22A37"/>
    <w:rsid w:val="00B31E27"/>
    <w:rsid w:val="00B51A7F"/>
    <w:rsid w:val="00B6131A"/>
    <w:rsid w:val="00B702CC"/>
    <w:rsid w:val="00B77240"/>
    <w:rsid w:val="00BA7494"/>
    <w:rsid w:val="00C05E8A"/>
    <w:rsid w:val="00C07D21"/>
    <w:rsid w:val="00C30F00"/>
    <w:rsid w:val="00C414CC"/>
    <w:rsid w:val="00CA237F"/>
    <w:rsid w:val="00CC0488"/>
    <w:rsid w:val="00CC1AB0"/>
    <w:rsid w:val="00CC76C6"/>
    <w:rsid w:val="00CD11C9"/>
    <w:rsid w:val="00CD1FC9"/>
    <w:rsid w:val="00D24E8E"/>
    <w:rsid w:val="00DA7EBF"/>
    <w:rsid w:val="00DC0691"/>
    <w:rsid w:val="00DD24E2"/>
    <w:rsid w:val="00DF2EC5"/>
    <w:rsid w:val="00E27D42"/>
    <w:rsid w:val="00E44EC1"/>
    <w:rsid w:val="00E45B61"/>
    <w:rsid w:val="00E55042"/>
    <w:rsid w:val="00E7794A"/>
    <w:rsid w:val="00E82440"/>
    <w:rsid w:val="00E96172"/>
    <w:rsid w:val="00E970C7"/>
    <w:rsid w:val="00EC17F4"/>
    <w:rsid w:val="00EC34D9"/>
    <w:rsid w:val="00ED5E6C"/>
    <w:rsid w:val="00ED674C"/>
    <w:rsid w:val="00EF0BDF"/>
    <w:rsid w:val="00EF30CC"/>
    <w:rsid w:val="00F2643C"/>
    <w:rsid w:val="00F6415D"/>
    <w:rsid w:val="00F701C3"/>
    <w:rsid w:val="00F96242"/>
    <w:rsid w:val="00FB64C9"/>
    <w:rsid w:val="00FD04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6E5472C"/>
  <w15:docId w15:val="{8E20808E-4D53-4BC9-AAB8-35DBFE94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70F"/>
    <w:rPr>
      <w:sz w:val="24"/>
    </w:rPr>
  </w:style>
  <w:style w:type="paragraph" w:styleId="Heading3">
    <w:name w:val="heading 3"/>
    <w:basedOn w:val="Normal"/>
    <w:link w:val="Heading3Char"/>
    <w:uiPriority w:val="9"/>
    <w:qFormat/>
    <w:rsid w:val="00004C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8C"/>
    <w:pPr>
      <w:tabs>
        <w:tab w:val="center" w:pos="4320"/>
        <w:tab w:val="right" w:pos="8640"/>
      </w:tabs>
    </w:pPr>
  </w:style>
  <w:style w:type="character" w:customStyle="1" w:styleId="HeaderChar">
    <w:name w:val="Header Char"/>
    <w:basedOn w:val="DefaultParagraphFont"/>
    <w:link w:val="Header"/>
    <w:uiPriority w:val="99"/>
    <w:rsid w:val="00894C8C"/>
    <w:rPr>
      <w:sz w:val="24"/>
    </w:rPr>
  </w:style>
  <w:style w:type="paragraph" w:styleId="Footer">
    <w:name w:val="footer"/>
    <w:basedOn w:val="Normal"/>
    <w:link w:val="FooterChar"/>
    <w:uiPriority w:val="99"/>
    <w:unhideWhenUsed/>
    <w:rsid w:val="00894C8C"/>
    <w:pPr>
      <w:tabs>
        <w:tab w:val="center" w:pos="4320"/>
        <w:tab w:val="right" w:pos="8640"/>
      </w:tabs>
    </w:pPr>
  </w:style>
  <w:style w:type="character" w:customStyle="1" w:styleId="FooterChar">
    <w:name w:val="Footer Char"/>
    <w:basedOn w:val="DefaultParagraphFont"/>
    <w:link w:val="Footer"/>
    <w:uiPriority w:val="99"/>
    <w:rsid w:val="00894C8C"/>
    <w:rPr>
      <w:sz w:val="24"/>
    </w:rPr>
  </w:style>
  <w:style w:type="paragraph" w:styleId="BalloonText">
    <w:name w:val="Balloon Text"/>
    <w:basedOn w:val="Normal"/>
    <w:link w:val="BalloonTextChar"/>
    <w:uiPriority w:val="99"/>
    <w:semiHidden/>
    <w:unhideWhenUsed/>
    <w:rsid w:val="00B16BAD"/>
    <w:rPr>
      <w:rFonts w:ascii="Tahoma" w:hAnsi="Tahoma" w:cs="Tahoma"/>
      <w:sz w:val="16"/>
      <w:szCs w:val="16"/>
    </w:rPr>
  </w:style>
  <w:style w:type="character" w:customStyle="1" w:styleId="BalloonTextChar">
    <w:name w:val="Balloon Text Char"/>
    <w:basedOn w:val="DefaultParagraphFont"/>
    <w:link w:val="BalloonText"/>
    <w:uiPriority w:val="99"/>
    <w:semiHidden/>
    <w:rsid w:val="00B16BAD"/>
    <w:rPr>
      <w:rFonts w:ascii="Tahoma" w:hAnsi="Tahoma" w:cs="Tahoma"/>
      <w:sz w:val="16"/>
      <w:szCs w:val="16"/>
    </w:rPr>
  </w:style>
  <w:style w:type="character" w:styleId="Hyperlink">
    <w:name w:val="Hyperlink"/>
    <w:rsid w:val="00C07D21"/>
    <w:rPr>
      <w:color w:val="0000FF"/>
      <w:u w:val="single"/>
    </w:rPr>
  </w:style>
  <w:style w:type="character" w:customStyle="1" w:styleId="Heading3Char">
    <w:name w:val="Heading 3 Char"/>
    <w:basedOn w:val="DefaultParagraphFont"/>
    <w:link w:val="Heading3"/>
    <w:uiPriority w:val="9"/>
    <w:rsid w:val="00004CF7"/>
    <w:rPr>
      <w:rFonts w:ascii="Times New Roman" w:eastAsia="Times New Roman" w:hAnsi="Times New Roman" w:cs="Times New Roman"/>
      <w:b/>
      <w:bCs/>
      <w:sz w:val="27"/>
      <w:szCs w:val="27"/>
    </w:rPr>
  </w:style>
  <w:style w:type="paragraph" w:styleId="NormalWeb">
    <w:name w:val="Normal (Web)"/>
    <w:basedOn w:val="Normal"/>
    <w:uiPriority w:val="99"/>
    <w:unhideWhenUsed/>
    <w:rsid w:val="00A37A10"/>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A10"/>
  </w:style>
  <w:style w:type="character" w:styleId="Strong">
    <w:name w:val="Strong"/>
    <w:basedOn w:val="DefaultParagraphFont"/>
    <w:uiPriority w:val="22"/>
    <w:qFormat/>
    <w:rsid w:val="00A37A10"/>
    <w:rPr>
      <w:b/>
      <w:bCs/>
    </w:rPr>
  </w:style>
  <w:style w:type="paragraph" w:styleId="ListParagraph">
    <w:name w:val="List Paragraph"/>
    <w:basedOn w:val="Normal"/>
    <w:uiPriority w:val="34"/>
    <w:qFormat/>
    <w:rsid w:val="0078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6788">
      <w:bodyDiv w:val="1"/>
      <w:marLeft w:val="0"/>
      <w:marRight w:val="0"/>
      <w:marTop w:val="0"/>
      <w:marBottom w:val="0"/>
      <w:divBdr>
        <w:top w:val="none" w:sz="0" w:space="0" w:color="auto"/>
        <w:left w:val="none" w:sz="0" w:space="0" w:color="auto"/>
        <w:bottom w:val="none" w:sz="0" w:space="0" w:color="auto"/>
        <w:right w:val="none" w:sz="0" w:space="0" w:color="auto"/>
      </w:divBdr>
    </w:div>
    <w:div w:id="770663527">
      <w:bodyDiv w:val="1"/>
      <w:marLeft w:val="0"/>
      <w:marRight w:val="0"/>
      <w:marTop w:val="0"/>
      <w:marBottom w:val="0"/>
      <w:divBdr>
        <w:top w:val="none" w:sz="0" w:space="0" w:color="auto"/>
        <w:left w:val="none" w:sz="0" w:space="0" w:color="auto"/>
        <w:bottom w:val="none" w:sz="0" w:space="0" w:color="auto"/>
        <w:right w:val="none" w:sz="0" w:space="0" w:color="auto"/>
      </w:divBdr>
    </w:div>
    <w:div w:id="1448350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ISB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dcdisb?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sb.d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b.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43E7FAAD56C46ABFEA2C253EAB043" ma:contentTypeVersion="7" ma:contentTypeDescription="Create a new document." ma:contentTypeScope="" ma:versionID="38057a36437770163e0908970daac0a9">
  <xsd:schema xmlns:xsd="http://www.w3.org/2001/XMLSchema" xmlns:xs="http://www.w3.org/2001/XMLSchema" xmlns:p="http://schemas.microsoft.com/office/2006/metadata/properties" xmlns:ns3="875c7d66-57f9-4a80-be2d-f1603ca3be1d" targetNamespace="http://schemas.microsoft.com/office/2006/metadata/properties" ma:root="true" ma:fieldsID="e5453a47d6bc33499c3a26becaa9d5f6" ns3:_="">
    <xsd:import namespace="875c7d66-57f9-4a80-be2d-f1603ca3b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7d66-57f9-4a80-be2d-f1603ca3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2A02-DE5C-4093-AE00-50EDA75D3D5C}">
  <ds:schemaRefs>
    <ds:schemaRef ds:uri="http://schemas.microsoft.com/sharepoint/v3/contenttype/forms"/>
  </ds:schemaRefs>
</ds:datastoreItem>
</file>

<file path=customXml/itemProps2.xml><?xml version="1.0" encoding="utf-8"?>
<ds:datastoreItem xmlns:ds="http://schemas.openxmlformats.org/officeDocument/2006/customXml" ds:itemID="{ABB9C1FB-8A31-4D38-9009-4CB3B9C4EB3B}">
  <ds:schemaRefs>
    <ds:schemaRef ds:uri="http://schemas.microsoft.com/office/infopath/2007/PartnerControls"/>
    <ds:schemaRef ds:uri="875c7d66-57f9-4a80-be2d-f1603ca3be1d"/>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7C7287B-2DB6-471B-85FB-61CD6CEB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7d66-57f9-4a80-be2d-f1603ca3b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F82CB-6CD6-48A9-8326-07D4B2F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Kathryn (DISB)</dc:creator>
  <cp:lastModifiedBy>Pereira, Aristides (DISB)</cp:lastModifiedBy>
  <cp:revision>2</cp:revision>
  <cp:lastPrinted>2014-06-05T17:05:00Z</cp:lastPrinted>
  <dcterms:created xsi:type="dcterms:W3CDTF">2019-12-03T15:59:00Z</dcterms:created>
  <dcterms:modified xsi:type="dcterms:W3CDTF">2019-12-03T15:59:00Z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0x010100D8543E7FAAD56C46ABFEA2C253EAB043</vt:lpwstr>
  </property>
</Properties>
</file>