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E851E" w14:textId="77777777" w:rsidR="009D1A15" w:rsidRPr="00007EFB" w:rsidRDefault="009D1A15" w:rsidP="005E7EDE">
      <w:pPr>
        <w:rPr>
          <w:bCs/>
        </w:rPr>
        <w:sectPr w:rsidR="009D1A15" w:rsidRPr="00007EFB">
          <w:footerReference w:type="default" r:id="rId8"/>
          <w:type w:val="continuous"/>
          <w:pgSz w:w="12240" w:h="15840"/>
          <w:pgMar w:top="1814" w:right="1662" w:bottom="1009" w:left="1649" w:header="1920" w:footer="720" w:gutter="0"/>
          <w:cols w:space="720"/>
          <w:noEndnote/>
        </w:sectPr>
      </w:pPr>
      <w:bookmarkStart w:id="0" w:name="_GoBack"/>
      <w:bookmarkEnd w:id="0"/>
    </w:p>
    <w:p w14:paraId="20100DEF" w14:textId="426E7C37" w:rsidR="009D1A15" w:rsidRPr="000322A9" w:rsidRDefault="009D1A15" w:rsidP="004C294F">
      <w:pPr>
        <w:jc w:val="center"/>
        <w:rPr>
          <w:b/>
          <w:bCs/>
        </w:rPr>
      </w:pPr>
      <w:r w:rsidRPr="000322A9">
        <w:rPr>
          <w:b/>
          <w:bCs/>
        </w:rPr>
        <w:lastRenderedPageBreak/>
        <w:t xml:space="preserve">NOTICE AND CONSENT FORM FOR </w:t>
      </w:r>
    </w:p>
    <w:p w14:paraId="6ABF8AE8" w14:textId="016842A0" w:rsidR="009D1A15" w:rsidRDefault="009D1A15" w:rsidP="004C294F">
      <w:pPr>
        <w:jc w:val="center"/>
        <w:rPr>
          <w:b/>
          <w:bCs/>
        </w:rPr>
      </w:pPr>
      <w:r w:rsidRPr="000322A9">
        <w:rPr>
          <w:b/>
          <w:bCs/>
        </w:rPr>
        <w:t xml:space="preserve">TESTING TO </w:t>
      </w:r>
      <w:r w:rsidRPr="000322A9">
        <w:rPr>
          <w:b/>
        </w:rPr>
        <w:t xml:space="preserve">DETERMINE </w:t>
      </w:r>
      <w:r w:rsidR="004C294F">
        <w:rPr>
          <w:b/>
          <w:bCs/>
        </w:rPr>
        <w:t>EXPOSURE TO</w:t>
      </w:r>
    </w:p>
    <w:p w14:paraId="4D2E39B2" w14:textId="7666F240" w:rsidR="004C294F" w:rsidRPr="000322A9" w:rsidRDefault="004C294F" w:rsidP="004C294F">
      <w:pPr>
        <w:jc w:val="center"/>
        <w:rPr>
          <w:b/>
        </w:rPr>
      </w:pPr>
      <w:r>
        <w:rPr>
          <w:b/>
          <w:bCs/>
        </w:rPr>
        <w:t>THE CAUSATIVE AGENT OF AIDS</w:t>
      </w:r>
    </w:p>
    <w:p w14:paraId="5140D792" w14:textId="77777777" w:rsidR="009D1A15" w:rsidRPr="00007EFB" w:rsidRDefault="009D1A15" w:rsidP="005E7EDE"/>
    <w:p w14:paraId="35BABFFE" w14:textId="77777777" w:rsidR="009D1A15" w:rsidRPr="00007EFB" w:rsidRDefault="009D1A15" w:rsidP="005E7EDE">
      <w:r w:rsidRPr="00007EFB">
        <w:t>Insurer Name and Address:</w:t>
      </w:r>
    </w:p>
    <w:p w14:paraId="1C7E636C" w14:textId="77777777" w:rsidR="009D1A15" w:rsidRPr="00007EFB" w:rsidRDefault="009D1A15" w:rsidP="005E7EDE"/>
    <w:p w14:paraId="37B8EB9E" w14:textId="77777777" w:rsidR="009D1A15" w:rsidRPr="00007EFB" w:rsidRDefault="009D1A15" w:rsidP="005E7EDE">
      <w:r w:rsidRPr="00007EFB">
        <w:t>Dear Proposed Insured:</w:t>
      </w:r>
    </w:p>
    <w:p w14:paraId="4C33EDE1" w14:textId="77777777" w:rsidR="009D1A15" w:rsidRPr="00007EFB" w:rsidRDefault="009D1A15" w:rsidP="005E7EDE"/>
    <w:p w14:paraId="16A7B3E4" w14:textId="26189B9E" w:rsidR="00515B8F" w:rsidRDefault="009D1A15" w:rsidP="005E7EDE">
      <w:r w:rsidRPr="00007EFB">
        <w:t xml:space="preserve">To evaluate </w:t>
      </w:r>
      <w:r w:rsidRPr="00007EFB">
        <w:rPr>
          <w:bCs/>
        </w:rPr>
        <w:t xml:space="preserve">eligibility </w:t>
      </w:r>
      <w:r w:rsidRPr="00007EFB">
        <w:t xml:space="preserve">for insurance coverage, </w:t>
      </w:r>
      <w:r w:rsidRPr="00007EFB">
        <w:rPr>
          <w:bCs/>
        </w:rPr>
        <w:t xml:space="preserve">it </w:t>
      </w:r>
      <w:r w:rsidRPr="00007EFB">
        <w:t xml:space="preserve">is requested that a sample </w:t>
      </w:r>
      <w:r w:rsidRPr="00007EFB">
        <w:rPr>
          <w:bCs/>
        </w:rPr>
        <w:t xml:space="preserve">of </w:t>
      </w:r>
      <w:r w:rsidRPr="00007EFB">
        <w:t xml:space="preserve">blood, oral and/or urine specimen be provided </w:t>
      </w:r>
      <w:r w:rsidR="00515B8F">
        <w:t xml:space="preserve">for testing </w:t>
      </w:r>
      <w:r w:rsidRPr="00007EFB">
        <w:t xml:space="preserve">to determine the probable causative </w:t>
      </w:r>
      <w:r w:rsidR="00007EFB" w:rsidRPr="00007EFB">
        <w:t>agents</w:t>
      </w:r>
      <w:r w:rsidRPr="00007EFB">
        <w:t xml:space="preserve"> </w:t>
      </w:r>
      <w:r w:rsidRPr="000322A9">
        <w:rPr>
          <w:bCs/>
          <w:iCs/>
        </w:rPr>
        <w:t>of</w:t>
      </w:r>
      <w:r w:rsidRPr="00007EFB">
        <w:rPr>
          <w:bCs/>
          <w:i/>
          <w:iCs/>
        </w:rPr>
        <w:t xml:space="preserve"> </w:t>
      </w:r>
      <w:r w:rsidRPr="00007EFB">
        <w:t>A</w:t>
      </w:r>
      <w:r w:rsidR="000322A9">
        <w:t>ID</w:t>
      </w:r>
      <w:r w:rsidRPr="00007EFB">
        <w:t xml:space="preserve">S. </w:t>
      </w:r>
      <w:r w:rsidR="00515B8F">
        <w:t xml:space="preserve">Before an insurer can request a specimen and perform a test, the insurer must explain the testing protocols, as established by the Director of the District of Columbia Department of Health.  The insurer is also required to obtain a written consent statement from the applicant for insurance confirming that the insurer has complied with its obligations.  </w:t>
      </w:r>
    </w:p>
    <w:p w14:paraId="1510FC95" w14:textId="77777777" w:rsidR="00515B8F" w:rsidRDefault="00515B8F" w:rsidP="005E7EDE"/>
    <w:p w14:paraId="7F39B6A3" w14:textId="79D77B1C" w:rsidR="009D1A15" w:rsidRPr="00007EFB" w:rsidRDefault="00515B8F" w:rsidP="005E7EDE">
      <w:r>
        <w:t>The s</w:t>
      </w:r>
      <w:r w:rsidR="009D1A15" w:rsidRPr="00007EFB">
        <w:t xml:space="preserve">igning </w:t>
      </w:r>
      <w:r>
        <w:t xml:space="preserve">of </w:t>
      </w:r>
      <w:r w:rsidR="009D1A15" w:rsidRPr="00007EFB">
        <w:t xml:space="preserve">this </w:t>
      </w:r>
      <w:r w:rsidR="009D1A15" w:rsidRPr="00007EFB">
        <w:rPr>
          <w:bCs/>
        </w:rPr>
        <w:t xml:space="preserve">form </w:t>
      </w:r>
      <w:r w:rsidR="009D1A15" w:rsidRPr="00007EFB">
        <w:t xml:space="preserve">indicates that the procedure used in implementing this test has been explained and has been shown to be in full compliance with the protocol currently adopted by the </w:t>
      </w:r>
      <w:r w:rsidR="00B75F7E">
        <w:t>Director of the Department of Health</w:t>
      </w:r>
      <w:r w:rsidR="000322A9">
        <w:t xml:space="preserve">.  </w:t>
      </w:r>
      <w:r w:rsidR="009D1A15" w:rsidRPr="00007EFB">
        <w:t xml:space="preserve">Additionally, by signing and dating this form, </w:t>
      </w:r>
      <w:r w:rsidR="009D1A15" w:rsidRPr="00007EFB">
        <w:rPr>
          <w:bCs/>
        </w:rPr>
        <w:t xml:space="preserve">it </w:t>
      </w:r>
      <w:r w:rsidR="009D1A15" w:rsidRPr="00007EFB">
        <w:t xml:space="preserve">is agreed that this test may be performed and that </w:t>
      </w:r>
      <w:r>
        <w:t xml:space="preserve">an </w:t>
      </w:r>
      <w:r w:rsidR="009D1A15" w:rsidRPr="00007EFB">
        <w:t>underwriting decision</w:t>
      </w:r>
      <w:r>
        <w:t xml:space="preserve"> may </w:t>
      </w:r>
      <w:r w:rsidR="009D1A15" w:rsidRPr="00007EFB">
        <w:t>be based on the test results.</w:t>
      </w:r>
    </w:p>
    <w:p w14:paraId="64208C9D" w14:textId="77777777" w:rsidR="009D1A15" w:rsidRPr="00007EFB" w:rsidRDefault="009D1A15" w:rsidP="005E7EDE"/>
    <w:p w14:paraId="6B8C849A" w14:textId="77777777" w:rsidR="003D4C4F" w:rsidRDefault="009D1A15" w:rsidP="00883835">
      <w:r w:rsidRPr="00007EFB">
        <w:rPr>
          <w:bCs/>
        </w:rPr>
        <w:t xml:space="preserve">No </w:t>
      </w:r>
      <w:r w:rsidRPr="00007EFB">
        <w:t xml:space="preserve">insurer </w:t>
      </w:r>
      <w:r w:rsidRPr="00007EFB">
        <w:rPr>
          <w:bCs/>
        </w:rPr>
        <w:t xml:space="preserve">shall request or </w:t>
      </w:r>
      <w:r w:rsidRPr="00007EFB">
        <w:t xml:space="preserve">require </w:t>
      </w:r>
      <w:r w:rsidRPr="00007EFB">
        <w:rPr>
          <w:bCs/>
        </w:rPr>
        <w:t xml:space="preserve">you to </w:t>
      </w:r>
      <w:r w:rsidRPr="00007EFB">
        <w:t xml:space="preserve">take </w:t>
      </w:r>
      <w:r w:rsidRPr="00007EFB">
        <w:rPr>
          <w:bCs/>
        </w:rPr>
        <w:t xml:space="preserve">the testing protocol without first obtaining you or your legal guardian’s signature on </w:t>
      </w:r>
      <w:r w:rsidRPr="00007EFB">
        <w:t xml:space="preserve">this consent </w:t>
      </w:r>
      <w:r w:rsidRPr="00007EFB">
        <w:rPr>
          <w:bCs/>
        </w:rPr>
        <w:t xml:space="preserve">form. You have the </w:t>
      </w:r>
      <w:r w:rsidRPr="00007EFB">
        <w:t xml:space="preserve">right </w:t>
      </w:r>
      <w:r w:rsidRPr="00007EFB">
        <w:rPr>
          <w:bCs/>
        </w:rPr>
        <w:t xml:space="preserve">to decide not to be tested and not to sign </w:t>
      </w:r>
      <w:r w:rsidRPr="00007EFB">
        <w:t xml:space="preserve">this </w:t>
      </w:r>
      <w:r w:rsidRPr="00007EFB">
        <w:rPr>
          <w:bCs/>
        </w:rPr>
        <w:t xml:space="preserve">form. Once the insurance </w:t>
      </w:r>
      <w:r w:rsidRPr="00007EFB">
        <w:t xml:space="preserve">company has asked </w:t>
      </w:r>
      <w:r w:rsidRPr="00007EFB">
        <w:rPr>
          <w:bCs/>
        </w:rPr>
        <w:t xml:space="preserve">you to sign </w:t>
      </w:r>
      <w:r w:rsidRPr="00007EFB">
        <w:t xml:space="preserve">this consent </w:t>
      </w:r>
      <w:r w:rsidRPr="000322A9">
        <w:rPr>
          <w:bCs/>
          <w:iCs/>
        </w:rPr>
        <w:t>form</w:t>
      </w:r>
      <w:r w:rsidRPr="00007EFB">
        <w:rPr>
          <w:bCs/>
          <w:i/>
          <w:iCs/>
        </w:rPr>
        <w:t xml:space="preserve">, </w:t>
      </w:r>
      <w:r w:rsidRPr="00007EFB">
        <w:rPr>
          <w:bCs/>
        </w:rPr>
        <w:t xml:space="preserve">you or your legal guardian may </w:t>
      </w:r>
      <w:r w:rsidRPr="00007EFB">
        <w:t xml:space="preserve">wait </w:t>
      </w:r>
      <w:r w:rsidRPr="00007EFB">
        <w:rPr>
          <w:bCs/>
        </w:rPr>
        <w:t xml:space="preserve">14 </w:t>
      </w:r>
      <w:r w:rsidRPr="00007EFB">
        <w:t xml:space="preserve">days </w:t>
      </w:r>
      <w:r w:rsidRPr="00007EFB">
        <w:rPr>
          <w:bCs/>
        </w:rPr>
        <w:t xml:space="preserve">before signing this </w:t>
      </w:r>
      <w:r w:rsidRPr="00007EFB">
        <w:t>informed consent.</w:t>
      </w:r>
      <w:r w:rsidR="00883835">
        <w:t xml:space="preserve"> </w:t>
      </w:r>
    </w:p>
    <w:p w14:paraId="7D3B0822" w14:textId="77777777" w:rsidR="003D4C4F" w:rsidRDefault="003D4C4F" w:rsidP="00883835"/>
    <w:p w14:paraId="17704234" w14:textId="44F4E40E" w:rsidR="00883835" w:rsidRPr="00007EFB" w:rsidRDefault="003D4C4F" w:rsidP="003D4C4F">
      <w:r w:rsidRPr="00007EFB">
        <w:t xml:space="preserve">In </w:t>
      </w:r>
      <w:r w:rsidRPr="00007EFB">
        <w:rPr>
          <w:bCs/>
        </w:rPr>
        <w:t xml:space="preserve">the event the </w:t>
      </w:r>
      <w:r w:rsidRPr="00007EFB">
        <w:t xml:space="preserve">test result </w:t>
      </w:r>
      <w:r w:rsidRPr="00007EFB">
        <w:rPr>
          <w:bCs/>
        </w:rPr>
        <w:t xml:space="preserve">is </w:t>
      </w:r>
      <w:r w:rsidRPr="00007EFB">
        <w:t>positive</w:t>
      </w:r>
      <w:r w:rsidR="00DC5F04">
        <w:t>,</w:t>
      </w:r>
      <w:r>
        <w:t xml:space="preserve"> the </w:t>
      </w:r>
      <w:r w:rsidR="00883835">
        <w:t xml:space="preserve">Department </w:t>
      </w:r>
      <w:r w:rsidR="00F93010">
        <w:t xml:space="preserve">of Health </w:t>
      </w:r>
      <w:r w:rsidR="00883835">
        <w:t xml:space="preserve">recommends that </w:t>
      </w:r>
      <w:r>
        <w:t xml:space="preserve">you or your child </w:t>
      </w:r>
      <w:r w:rsidR="00515B8F">
        <w:t xml:space="preserve">are </w:t>
      </w:r>
      <w:r w:rsidR="00883835">
        <w:t xml:space="preserve">immediately </w:t>
      </w:r>
      <w:r w:rsidR="00515B8F">
        <w:t xml:space="preserve">put in contact with an </w:t>
      </w:r>
      <w:r w:rsidR="00883835">
        <w:t xml:space="preserve">HIV (infectious disease) provider. </w:t>
      </w:r>
      <w:r w:rsidR="00DC5F04">
        <w:t>Please see page 5 for further information.</w:t>
      </w:r>
      <w:r w:rsidR="00883835">
        <w:br/>
      </w:r>
    </w:p>
    <w:p w14:paraId="237D8163" w14:textId="77777777" w:rsidR="009D1A15" w:rsidRPr="00DE5FEF" w:rsidRDefault="009D1A15" w:rsidP="005E7EDE">
      <w:pPr>
        <w:rPr>
          <w:b/>
          <w:bCs/>
          <w:u w:val="single"/>
        </w:rPr>
      </w:pPr>
      <w:r w:rsidRPr="00DE5FEF">
        <w:rPr>
          <w:b/>
          <w:bCs/>
          <w:u w:val="single"/>
        </w:rPr>
        <w:t>DISCLOSURE OF TEST RESULTS:</w:t>
      </w:r>
    </w:p>
    <w:p w14:paraId="20D97BB9" w14:textId="77777777" w:rsidR="009D1A15" w:rsidRPr="00007EFB" w:rsidRDefault="009D1A15" w:rsidP="005E7EDE">
      <w:pPr>
        <w:rPr>
          <w:bCs/>
        </w:rPr>
      </w:pPr>
    </w:p>
    <w:p w14:paraId="526C29FE" w14:textId="4C9795F5" w:rsidR="009D1A15" w:rsidRPr="00007EFB" w:rsidRDefault="000322A9" w:rsidP="005E7EDE">
      <w:pPr>
        <w:rPr>
          <w:bCs/>
        </w:rPr>
      </w:pPr>
      <w:r>
        <w:rPr>
          <w:bCs/>
        </w:rPr>
        <w:t xml:space="preserve">All </w:t>
      </w:r>
      <w:r w:rsidR="00515B8F">
        <w:rPr>
          <w:bCs/>
        </w:rPr>
        <w:t xml:space="preserve">information regarding the performance of the test, including the </w:t>
      </w:r>
      <w:r w:rsidR="009D1A15" w:rsidRPr="00007EFB">
        <w:rPr>
          <w:bCs/>
        </w:rPr>
        <w:t>test results</w:t>
      </w:r>
      <w:r w:rsidR="00515B8F">
        <w:rPr>
          <w:bCs/>
        </w:rPr>
        <w:t>,</w:t>
      </w:r>
      <w:r w:rsidR="009D1A15" w:rsidRPr="00007EFB">
        <w:rPr>
          <w:bCs/>
        </w:rPr>
        <w:t xml:space="preserve"> will be </w:t>
      </w:r>
      <w:r w:rsidR="009D1A15" w:rsidRPr="00007EFB">
        <w:t xml:space="preserve">treated </w:t>
      </w:r>
      <w:r w:rsidR="009D1A15" w:rsidRPr="00007EFB">
        <w:rPr>
          <w:bCs/>
        </w:rPr>
        <w:t xml:space="preserve">confidentially. The results of the test will be </w:t>
      </w:r>
      <w:r w:rsidR="009D1A15" w:rsidRPr="00007EFB">
        <w:t xml:space="preserve">reported </w:t>
      </w:r>
      <w:r w:rsidR="009D1A15" w:rsidRPr="00007EFB">
        <w:rPr>
          <w:bCs/>
        </w:rPr>
        <w:t xml:space="preserve">to the </w:t>
      </w:r>
      <w:r w:rsidR="009D1A15" w:rsidRPr="00007EFB">
        <w:t xml:space="preserve">insurer </w:t>
      </w:r>
      <w:r w:rsidR="009D1A15" w:rsidRPr="00007EFB">
        <w:rPr>
          <w:bCs/>
        </w:rPr>
        <w:t xml:space="preserve">identified on </w:t>
      </w:r>
      <w:r w:rsidR="009D1A15" w:rsidRPr="00007EFB">
        <w:t xml:space="preserve">this </w:t>
      </w:r>
      <w:r w:rsidR="009D1A15" w:rsidRPr="00007EFB">
        <w:rPr>
          <w:bCs/>
        </w:rPr>
        <w:t xml:space="preserve">form; the applicant or his or her legal </w:t>
      </w:r>
      <w:r w:rsidR="009D1A15" w:rsidRPr="00007EFB">
        <w:t>guardian</w:t>
      </w:r>
      <w:r w:rsidR="00515B8F">
        <w:t xml:space="preserve">; </w:t>
      </w:r>
      <w:r w:rsidR="009D1A15" w:rsidRPr="00007EFB">
        <w:rPr>
          <w:bCs/>
        </w:rPr>
        <w:t xml:space="preserve">a physician or </w:t>
      </w:r>
      <w:r w:rsidR="009D1A15" w:rsidRPr="00007EFB">
        <w:t xml:space="preserve">health care provider </w:t>
      </w:r>
      <w:r w:rsidR="00515B8F">
        <w:t xml:space="preserve">if </w:t>
      </w:r>
      <w:r w:rsidR="009D1A15" w:rsidRPr="00007EFB">
        <w:t xml:space="preserve">designated </w:t>
      </w:r>
      <w:r w:rsidR="009D1A15" w:rsidRPr="00007EFB">
        <w:rPr>
          <w:bCs/>
        </w:rPr>
        <w:t xml:space="preserve">on </w:t>
      </w:r>
      <w:r w:rsidR="009D1A15" w:rsidRPr="00007EFB">
        <w:t xml:space="preserve">this </w:t>
      </w:r>
      <w:r w:rsidR="009D1A15" w:rsidRPr="00007EFB">
        <w:rPr>
          <w:bCs/>
        </w:rPr>
        <w:t xml:space="preserve">form by the applicants; a court of competent </w:t>
      </w:r>
      <w:r w:rsidR="009D1A15" w:rsidRPr="00007EFB">
        <w:t xml:space="preserve">jurisdiction pursuant </w:t>
      </w:r>
      <w:r w:rsidR="009D1A15" w:rsidRPr="00007EFB">
        <w:rPr>
          <w:bCs/>
        </w:rPr>
        <w:t xml:space="preserve">to a lawful court order; </w:t>
      </w:r>
      <w:r w:rsidR="009D1A15" w:rsidRPr="00007EFB">
        <w:t xml:space="preserve">any </w:t>
      </w:r>
      <w:r w:rsidR="009D1A15" w:rsidRPr="00007EFB">
        <w:rPr>
          <w:bCs/>
        </w:rPr>
        <w:t xml:space="preserve">person or entity </w:t>
      </w:r>
      <w:r w:rsidR="009D1A15" w:rsidRPr="00007EFB">
        <w:t xml:space="preserve">involved </w:t>
      </w:r>
      <w:r w:rsidR="009D1A15" w:rsidRPr="00007EFB">
        <w:rPr>
          <w:bCs/>
        </w:rPr>
        <w:t xml:space="preserve">solely in </w:t>
      </w:r>
      <w:r w:rsidR="009D1A15" w:rsidRPr="00007EFB">
        <w:t xml:space="preserve">the </w:t>
      </w:r>
      <w:r w:rsidR="009D1A15" w:rsidRPr="00007EFB">
        <w:rPr>
          <w:bCs/>
        </w:rPr>
        <w:t xml:space="preserve">underwriting process; </w:t>
      </w:r>
      <w:r w:rsidR="009D1A15" w:rsidRPr="00007EFB">
        <w:t xml:space="preserve">and any </w:t>
      </w:r>
      <w:r w:rsidR="009D1A15" w:rsidRPr="00007EFB">
        <w:rPr>
          <w:bCs/>
        </w:rPr>
        <w:t xml:space="preserve">other person or </w:t>
      </w:r>
      <w:r w:rsidR="009D1A15" w:rsidRPr="00007EFB">
        <w:t xml:space="preserve">entity </w:t>
      </w:r>
      <w:r w:rsidR="009D1A15" w:rsidRPr="00007EFB">
        <w:rPr>
          <w:bCs/>
        </w:rPr>
        <w:t xml:space="preserve">expressly named </w:t>
      </w:r>
      <w:r w:rsidR="00515B8F">
        <w:rPr>
          <w:bCs/>
        </w:rPr>
        <w:t xml:space="preserve">and given </w:t>
      </w:r>
      <w:r w:rsidR="009D1A15" w:rsidRPr="00007EFB">
        <w:rPr>
          <w:bCs/>
        </w:rPr>
        <w:t>separate written authorization by the applicant. Results of the test shall not be otherwise disclosed.</w:t>
      </w:r>
    </w:p>
    <w:p w14:paraId="36407D65" w14:textId="77777777" w:rsidR="00DE5FEF" w:rsidRDefault="00DE5FEF" w:rsidP="005E7EDE"/>
    <w:p w14:paraId="3876E63A" w14:textId="77777777" w:rsidR="00340286" w:rsidRDefault="00340286" w:rsidP="005E7EDE">
      <w:pPr>
        <w:rPr>
          <w:b/>
          <w:u w:val="single"/>
        </w:rPr>
      </w:pPr>
    </w:p>
    <w:p w14:paraId="446B1FCE" w14:textId="77777777" w:rsidR="00340286" w:rsidRDefault="00340286" w:rsidP="005E7EDE">
      <w:pPr>
        <w:rPr>
          <w:b/>
          <w:u w:val="single"/>
        </w:rPr>
      </w:pPr>
    </w:p>
    <w:p w14:paraId="5CAFE86B" w14:textId="77777777" w:rsidR="00340286" w:rsidRDefault="00340286" w:rsidP="005E7EDE">
      <w:pPr>
        <w:rPr>
          <w:b/>
          <w:u w:val="single"/>
        </w:rPr>
      </w:pPr>
    </w:p>
    <w:p w14:paraId="63742EC1" w14:textId="77777777" w:rsidR="00340286" w:rsidRDefault="00340286" w:rsidP="005E7EDE">
      <w:pPr>
        <w:rPr>
          <w:b/>
          <w:u w:val="single"/>
        </w:rPr>
      </w:pPr>
    </w:p>
    <w:p w14:paraId="187F59B6" w14:textId="77777777" w:rsidR="009D1A15" w:rsidRPr="00DE5FEF" w:rsidRDefault="009D1A15" w:rsidP="005E7EDE">
      <w:pPr>
        <w:rPr>
          <w:b/>
          <w:u w:val="single"/>
        </w:rPr>
      </w:pPr>
      <w:r w:rsidRPr="00DE5FEF">
        <w:rPr>
          <w:b/>
          <w:u w:val="single"/>
        </w:rPr>
        <w:lastRenderedPageBreak/>
        <w:t>MEANING</w:t>
      </w:r>
      <w:r w:rsidR="00DE5FEF" w:rsidRPr="00DE5FEF">
        <w:rPr>
          <w:b/>
          <w:u w:val="single"/>
        </w:rPr>
        <w:t xml:space="preserve"> </w:t>
      </w:r>
      <w:r w:rsidRPr="00DE5FEF">
        <w:rPr>
          <w:b/>
          <w:u w:val="single"/>
        </w:rPr>
        <w:t>OF</w:t>
      </w:r>
      <w:r w:rsidR="00DE5FEF" w:rsidRPr="00DE5FEF">
        <w:rPr>
          <w:b/>
          <w:u w:val="single"/>
        </w:rPr>
        <w:t xml:space="preserve"> </w:t>
      </w:r>
      <w:r w:rsidRPr="00DE5FEF">
        <w:rPr>
          <w:b/>
          <w:u w:val="single"/>
        </w:rPr>
        <w:t>POSITIVE</w:t>
      </w:r>
      <w:r w:rsidR="00DE5FEF" w:rsidRPr="00DE5FEF">
        <w:rPr>
          <w:b/>
          <w:u w:val="single"/>
        </w:rPr>
        <w:t xml:space="preserve"> </w:t>
      </w:r>
      <w:r w:rsidRPr="00DE5FEF">
        <w:rPr>
          <w:b/>
          <w:u w:val="single"/>
        </w:rPr>
        <w:t>TEST</w:t>
      </w:r>
      <w:r w:rsidR="00DE5FEF" w:rsidRPr="00DE5FEF">
        <w:rPr>
          <w:b/>
          <w:u w:val="single"/>
        </w:rPr>
        <w:t xml:space="preserve"> </w:t>
      </w:r>
      <w:r w:rsidRPr="00DE5FEF">
        <w:rPr>
          <w:b/>
          <w:u w:val="single"/>
        </w:rPr>
        <w:t>RESULTS:</w:t>
      </w:r>
    </w:p>
    <w:p w14:paraId="68A1666B" w14:textId="77777777" w:rsidR="009D1A15" w:rsidRPr="00007EFB" w:rsidRDefault="009D1A15" w:rsidP="005E7EDE"/>
    <w:p w14:paraId="12E305C5" w14:textId="77777777" w:rsidR="009D1A15" w:rsidRPr="00007EFB" w:rsidRDefault="009D1A15" w:rsidP="005E7EDE">
      <w:r w:rsidRPr="00007EFB">
        <w:t xml:space="preserve">Positive test results </w:t>
      </w:r>
      <w:r w:rsidRPr="00007EFB">
        <w:rPr>
          <w:bCs/>
        </w:rPr>
        <w:t xml:space="preserve">may </w:t>
      </w:r>
      <w:r w:rsidRPr="00007EFB">
        <w:t xml:space="preserve">adversely affect your application </w:t>
      </w:r>
      <w:r w:rsidRPr="00007EFB">
        <w:rPr>
          <w:bCs/>
        </w:rPr>
        <w:t xml:space="preserve">for </w:t>
      </w:r>
      <w:r w:rsidRPr="00007EFB">
        <w:t xml:space="preserve">insurance. This means that </w:t>
      </w:r>
      <w:r w:rsidRPr="00007EFB">
        <w:rPr>
          <w:bCs/>
        </w:rPr>
        <w:t xml:space="preserve">your application may be </w:t>
      </w:r>
      <w:r w:rsidRPr="00007EFB">
        <w:t xml:space="preserve">declined, an increased premium may </w:t>
      </w:r>
      <w:r w:rsidRPr="00007EFB">
        <w:rPr>
          <w:bCs/>
        </w:rPr>
        <w:t xml:space="preserve">be charged or other </w:t>
      </w:r>
      <w:r w:rsidRPr="00007EFB">
        <w:t>changes may be necessary.</w:t>
      </w:r>
    </w:p>
    <w:p w14:paraId="2A610373" w14:textId="77777777" w:rsidR="009D1A15" w:rsidRDefault="009D1A15" w:rsidP="005E7EDE"/>
    <w:p w14:paraId="1993397B" w14:textId="6082B86B" w:rsidR="00515B8F" w:rsidRPr="000308C7" w:rsidRDefault="00515B8F" w:rsidP="005E7EDE">
      <w:pPr>
        <w:rPr>
          <w:b/>
          <w:u w:val="single"/>
        </w:rPr>
      </w:pPr>
      <w:r w:rsidRPr="000308C7">
        <w:rPr>
          <w:b/>
          <w:u w:val="single"/>
        </w:rPr>
        <w:t>SIGNATURE AND WRITTEN CONSENT</w:t>
      </w:r>
    </w:p>
    <w:p w14:paraId="4010D330" w14:textId="77777777" w:rsidR="00515B8F" w:rsidRPr="00007EFB" w:rsidRDefault="00515B8F" w:rsidP="005E7EDE"/>
    <w:p w14:paraId="66CE250C" w14:textId="57EBC6FE" w:rsidR="009D1A15" w:rsidRDefault="009D1A15" w:rsidP="005E7EDE">
      <w:r w:rsidRPr="00007EFB">
        <w:rPr>
          <w:bCs/>
        </w:rPr>
        <w:t xml:space="preserve">I have read </w:t>
      </w:r>
      <w:r w:rsidRPr="00007EFB">
        <w:t xml:space="preserve">and I understand this Notice </w:t>
      </w:r>
      <w:r w:rsidRPr="00007EFB">
        <w:rPr>
          <w:bCs/>
        </w:rPr>
        <w:t xml:space="preserve">and </w:t>
      </w:r>
      <w:r w:rsidR="00007EFB" w:rsidRPr="00007EFB">
        <w:rPr>
          <w:bCs/>
        </w:rPr>
        <w:t>Consent</w:t>
      </w:r>
      <w:r w:rsidRPr="00007EFB">
        <w:rPr>
          <w:bCs/>
        </w:rPr>
        <w:t xml:space="preserve"> Form. I voluntarily consent to </w:t>
      </w:r>
      <w:r w:rsidR="00515B8F">
        <w:rPr>
          <w:bCs/>
        </w:rPr>
        <w:t xml:space="preserve">having an AIDS </w:t>
      </w:r>
      <w:r w:rsidRPr="00007EFB">
        <w:rPr>
          <w:bCs/>
        </w:rPr>
        <w:t>test</w:t>
      </w:r>
      <w:r w:rsidR="00515B8F">
        <w:rPr>
          <w:bCs/>
        </w:rPr>
        <w:t xml:space="preserve"> performed </w:t>
      </w:r>
      <w:r w:rsidRPr="00007EFB">
        <w:t xml:space="preserve">and </w:t>
      </w:r>
      <w:r w:rsidRPr="00007EFB">
        <w:rPr>
          <w:bCs/>
        </w:rPr>
        <w:t>disclos</w:t>
      </w:r>
      <w:r w:rsidR="00515B8F">
        <w:rPr>
          <w:bCs/>
        </w:rPr>
        <w:t>ed</w:t>
      </w:r>
      <w:r w:rsidRPr="00007EFB">
        <w:rPr>
          <w:bCs/>
        </w:rPr>
        <w:t xml:space="preserve"> as described above. I </w:t>
      </w:r>
      <w:r w:rsidRPr="00007EFB">
        <w:t>understand that</w:t>
      </w:r>
      <w:r w:rsidR="00C17992">
        <w:t xml:space="preserve"> I</w:t>
      </w:r>
      <w:r w:rsidRPr="00007EFB">
        <w:t xml:space="preserve"> </w:t>
      </w:r>
      <w:r w:rsidRPr="00007EFB">
        <w:rPr>
          <w:bCs/>
        </w:rPr>
        <w:t xml:space="preserve">have the </w:t>
      </w:r>
      <w:r w:rsidRPr="00007EFB">
        <w:t xml:space="preserve">right to request </w:t>
      </w:r>
      <w:r w:rsidRPr="00007EFB">
        <w:rPr>
          <w:bCs/>
        </w:rPr>
        <w:t xml:space="preserve">and receive a copy of </w:t>
      </w:r>
      <w:r w:rsidRPr="00007EFB">
        <w:t xml:space="preserve">this </w:t>
      </w:r>
      <w:r w:rsidR="00D21AFD">
        <w:rPr>
          <w:bCs/>
        </w:rPr>
        <w:t>form</w:t>
      </w:r>
      <w:r w:rsidRPr="00F64B41">
        <w:rPr>
          <w:bCs/>
        </w:rPr>
        <w:t xml:space="preserve">. </w:t>
      </w:r>
      <w:r w:rsidR="00F64B41" w:rsidRPr="00F64B41">
        <w:rPr>
          <w:bCs/>
          <w:iCs/>
        </w:rPr>
        <w:t>A</w:t>
      </w:r>
      <w:r w:rsidR="00F64B41">
        <w:rPr>
          <w:bCs/>
          <w:iCs/>
        </w:rPr>
        <w:t xml:space="preserve"> </w:t>
      </w:r>
      <w:r w:rsidRPr="00007EFB">
        <w:t xml:space="preserve">certified </w:t>
      </w:r>
      <w:r w:rsidR="00007EFB" w:rsidRPr="00007EFB">
        <w:t>photocopy</w:t>
      </w:r>
      <w:r w:rsidRPr="00007EFB">
        <w:t xml:space="preserve"> </w:t>
      </w:r>
      <w:r w:rsidRPr="00007EFB">
        <w:rPr>
          <w:bCs/>
        </w:rPr>
        <w:t xml:space="preserve">of </w:t>
      </w:r>
      <w:r w:rsidRPr="00007EFB">
        <w:t xml:space="preserve">this </w:t>
      </w:r>
      <w:r w:rsidRPr="00007EFB">
        <w:rPr>
          <w:bCs/>
        </w:rPr>
        <w:t xml:space="preserve">form </w:t>
      </w:r>
      <w:r w:rsidR="00515B8F">
        <w:rPr>
          <w:bCs/>
        </w:rPr>
        <w:t xml:space="preserve">may serve and be deemed </w:t>
      </w:r>
      <w:r w:rsidRPr="00007EFB">
        <w:rPr>
          <w:bCs/>
        </w:rPr>
        <w:t xml:space="preserve">as valid </w:t>
      </w:r>
      <w:r w:rsidR="00007EFB" w:rsidRPr="00007EFB">
        <w:t>as the</w:t>
      </w:r>
      <w:r w:rsidRPr="00007EFB">
        <w:t xml:space="preserve"> original.</w:t>
      </w:r>
    </w:p>
    <w:p w14:paraId="00B2E17E" w14:textId="77777777" w:rsidR="00515B8F" w:rsidRDefault="00515B8F" w:rsidP="005E7EDE"/>
    <w:tbl>
      <w:tblPr>
        <w:tblW w:w="0" w:type="auto"/>
        <w:tblBorders>
          <w:insideV w:val="single" w:sz="4" w:space="0" w:color="auto"/>
        </w:tblBorders>
        <w:tblLook w:val="01E0" w:firstRow="1" w:lastRow="1" w:firstColumn="1" w:lastColumn="1" w:noHBand="0" w:noVBand="0"/>
      </w:tblPr>
      <w:tblGrid>
        <w:gridCol w:w="4464"/>
        <w:gridCol w:w="4465"/>
      </w:tblGrid>
      <w:tr w:rsidR="00515B8F" w:rsidRPr="00DE5FEF" w14:paraId="1906EA55" w14:textId="77777777" w:rsidTr="00931887">
        <w:tc>
          <w:tcPr>
            <w:tcW w:w="9145" w:type="dxa"/>
            <w:gridSpan w:val="2"/>
            <w:shd w:val="clear" w:color="auto" w:fill="auto"/>
          </w:tcPr>
          <w:p w14:paraId="1E2F561A" w14:textId="77777777" w:rsidR="00515B8F" w:rsidRPr="00600A64" w:rsidRDefault="00515B8F" w:rsidP="00931887">
            <w:pPr>
              <w:rPr>
                <w:b/>
              </w:rPr>
            </w:pPr>
            <w:r w:rsidRPr="00600A64">
              <w:rPr>
                <w:b/>
              </w:rPr>
              <w:tab/>
              <w:t>PHYSICIAN</w:t>
            </w:r>
            <w:r w:rsidRPr="00600A64">
              <w:rPr>
                <w:b/>
              </w:rPr>
              <w:tab/>
            </w:r>
            <w:r w:rsidRPr="00600A64">
              <w:rPr>
                <w:b/>
              </w:rPr>
              <w:tab/>
            </w:r>
            <w:r>
              <w:rPr>
                <w:b/>
              </w:rPr>
              <w:t xml:space="preserve">  and / </w:t>
            </w:r>
            <w:r w:rsidRPr="00600A64">
              <w:rPr>
                <w:b/>
                <w:bCs/>
              </w:rPr>
              <w:t>or</w:t>
            </w:r>
            <w:r w:rsidRPr="00600A64">
              <w:rPr>
                <w:b/>
                <w:bCs/>
              </w:rPr>
              <w:tab/>
            </w:r>
            <w:r w:rsidRPr="00600A64">
              <w:rPr>
                <w:b/>
                <w:bCs/>
              </w:rPr>
              <w:tab/>
              <w:t xml:space="preserve">HEALTH </w:t>
            </w:r>
            <w:r w:rsidRPr="00600A64">
              <w:rPr>
                <w:b/>
              </w:rPr>
              <w:t>CARE PROVIDER</w:t>
            </w:r>
          </w:p>
        </w:tc>
      </w:tr>
      <w:tr w:rsidR="00515B8F" w:rsidRPr="00DE5FEF" w14:paraId="4E63EE42" w14:textId="77777777" w:rsidTr="00931887">
        <w:trPr>
          <w:trHeight w:val="275"/>
        </w:trPr>
        <w:tc>
          <w:tcPr>
            <w:tcW w:w="4572" w:type="dxa"/>
            <w:shd w:val="clear" w:color="auto" w:fill="auto"/>
          </w:tcPr>
          <w:p w14:paraId="39586BE9" w14:textId="77777777" w:rsidR="00515B8F" w:rsidRDefault="00515B8F" w:rsidP="00931887"/>
          <w:p w14:paraId="1030A9DB" w14:textId="77777777" w:rsidR="00515B8F" w:rsidRPr="00DE5FEF" w:rsidRDefault="00515B8F" w:rsidP="00931887">
            <w:r>
              <w:t>______________________________</w:t>
            </w:r>
          </w:p>
        </w:tc>
        <w:tc>
          <w:tcPr>
            <w:tcW w:w="4573" w:type="dxa"/>
            <w:shd w:val="clear" w:color="auto" w:fill="auto"/>
          </w:tcPr>
          <w:p w14:paraId="35F0F2BA" w14:textId="77777777" w:rsidR="00515B8F" w:rsidRDefault="00515B8F" w:rsidP="00931887"/>
          <w:p w14:paraId="779C9DF0" w14:textId="77777777" w:rsidR="00515B8F" w:rsidRPr="00DE5FEF" w:rsidRDefault="00515B8F" w:rsidP="00931887">
            <w:r>
              <w:t>______________________________</w:t>
            </w:r>
          </w:p>
        </w:tc>
      </w:tr>
      <w:tr w:rsidR="00515B8F" w:rsidRPr="00DE5FEF" w14:paraId="1E275998" w14:textId="77777777" w:rsidTr="00931887">
        <w:trPr>
          <w:trHeight w:val="275"/>
        </w:trPr>
        <w:tc>
          <w:tcPr>
            <w:tcW w:w="4572" w:type="dxa"/>
            <w:shd w:val="clear" w:color="auto" w:fill="auto"/>
          </w:tcPr>
          <w:p w14:paraId="6AB82D5F" w14:textId="77777777" w:rsidR="00515B8F" w:rsidRDefault="00515B8F" w:rsidP="00931887"/>
          <w:p w14:paraId="36B175B8" w14:textId="77777777" w:rsidR="00515B8F" w:rsidRPr="00DE5FEF" w:rsidRDefault="00515B8F" w:rsidP="00931887">
            <w:r>
              <w:t>______________________________</w:t>
            </w:r>
          </w:p>
        </w:tc>
        <w:tc>
          <w:tcPr>
            <w:tcW w:w="4573" w:type="dxa"/>
            <w:shd w:val="clear" w:color="auto" w:fill="auto"/>
          </w:tcPr>
          <w:p w14:paraId="50FDF660" w14:textId="77777777" w:rsidR="00515B8F" w:rsidRDefault="00515B8F" w:rsidP="00931887"/>
          <w:p w14:paraId="39E1953F" w14:textId="77777777" w:rsidR="00515B8F" w:rsidRPr="00DE5FEF" w:rsidRDefault="00515B8F" w:rsidP="00931887">
            <w:r>
              <w:t>______________________________</w:t>
            </w:r>
          </w:p>
        </w:tc>
      </w:tr>
      <w:tr w:rsidR="00515B8F" w:rsidRPr="00DE5FEF" w14:paraId="3CB808D8" w14:textId="77777777" w:rsidTr="00931887">
        <w:trPr>
          <w:trHeight w:val="275"/>
        </w:trPr>
        <w:tc>
          <w:tcPr>
            <w:tcW w:w="4572" w:type="dxa"/>
            <w:shd w:val="clear" w:color="auto" w:fill="auto"/>
          </w:tcPr>
          <w:p w14:paraId="66A4EF89" w14:textId="77777777" w:rsidR="00515B8F" w:rsidRDefault="00515B8F" w:rsidP="00931887"/>
          <w:p w14:paraId="60865A5F" w14:textId="77777777" w:rsidR="00515B8F" w:rsidRPr="00DE5FEF" w:rsidRDefault="00515B8F" w:rsidP="00931887">
            <w:r>
              <w:t>______________________________</w:t>
            </w:r>
          </w:p>
        </w:tc>
        <w:tc>
          <w:tcPr>
            <w:tcW w:w="4573" w:type="dxa"/>
            <w:shd w:val="clear" w:color="auto" w:fill="auto"/>
          </w:tcPr>
          <w:p w14:paraId="1D45D52A" w14:textId="77777777" w:rsidR="00515B8F" w:rsidRDefault="00515B8F" w:rsidP="00931887"/>
          <w:p w14:paraId="1B0F8041" w14:textId="77777777" w:rsidR="00515B8F" w:rsidRPr="00DE5FEF" w:rsidRDefault="00515B8F" w:rsidP="00931887">
            <w:r>
              <w:t>______________________________</w:t>
            </w:r>
          </w:p>
        </w:tc>
      </w:tr>
    </w:tbl>
    <w:p w14:paraId="7B380807" w14:textId="77777777" w:rsidR="00515B8F" w:rsidRDefault="00515B8F" w:rsidP="00515B8F">
      <w:pPr>
        <w:rPr>
          <w:b/>
          <w:u w:val="single"/>
        </w:rPr>
      </w:pPr>
    </w:p>
    <w:p w14:paraId="69813DDE" w14:textId="77777777" w:rsidR="00515B8F" w:rsidRPr="00007EFB" w:rsidRDefault="00515B8F" w:rsidP="005E7EDE"/>
    <w:p w14:paraId="0D702823" w14:textId="77777777" w:rsidR="009D1A15" w:rsidRPr="00007EFB" w:rsidRDefault="009D1A15" w:rsidP="005E7EDE"/>
    <w:p w14:paraId="22C073F9" w14:textId="77777777" w:rsidR="009D1A15" w:rsidRPr="00DE5FEF" w:rsidRDefault="009D1A15" w:rsidP="005E7EDE">
      <w:pPr>
        <w:rPr>
          <w:b/>
          <w:bCs/>
        </w:rPr>
      </w:pPr>
      <w:r w:rsidRPr="00DE5FEF">
        <w:rPr>
          <w:b/>
          <w:u w:val="single"/>
        </w:rPr>
        <w:t>NOTICE</w:t>
      </w:r>
      <w:r w:rsidR="00DE5FEF" w:rsidRPr="00DE5FEF">
        <w:rPr>
          <w:b/>
          <w:u w:val="single"/>
        </w:rPr>
        <w:t xml:space="preserve"> </w:t>
      </w:r>
      <w:r w:rsidRPr="00DE5FEF">
        <w:rPr>
          <w:b/>
          <w:u w:val="single"/>
        </w:rPr>
        <w:t>O</w:t>
      </w:r>
      <w:r w:rsidR="00DE5FEF" w:rsidRPr="00DE5FEF">
        <w:rPr>
          <w:b/>
          <w:u w:val="single"/>
        </w:rPr>
        <w:t>F RI</w:t>
      </w:r>
      <w:r w:rsidRPr="00DE5FEF">
        <w:rPr>
          <w:b/>
          <w:u w:val="single"/>
        </w:rPr>
        <w:t>G</w:t>
      </w:r>
      <w:r w:rsidR="00DE5FEF" w:rsidRPr="00DE5FEF">
        <w:rPr>
          <w:b/>
          <w:u w:val="single"/>
        </w:rPr>
        <w:t>H</w:t>
      </w:r>
      <w:r w:rsidRPr="00DE5FEF">
        <w:rPr>
          <w:b/>
          <w:u w:val="single"/>
        </w:rPr>
        <w:t>T</w:t>
      </w:r>
      <w:r w:rsidR="00DE5FEF" w:rsidRPr="00DE5FEF">
        <w:rPr>
          <w:b/>
          <w:u w:val="single"/>
        </w:rPr>
        <w:t xml:space="preserve"> </w:t>
      </w:r>
      <w:r w:rsidRPr="00DE5FEF">
        <w:rPr>
          <w:b/>
          <w:bCs/>
          <w:u w:val="single"/>
        </w:rPr>
        <w:t>OF</w:t>
      </w:r>
      <w:r w:rsidR="00DE5FEF" w:rsidRPr="00DE5FEF">
        <w:rPr>
          <w:b/>
          <w:bCs/>
          <w:u w:val="single"/>
        </w:rPr>
        <w:t xml:space="preserve"> </w:t>
      </w:r>
      <w:r w:rsidRPr="00DE5FEF">
        <w:rPr>
          <w:b/>
          <w:bCs/>
          <w:u w:val="single"/>
        </w:rPr>
        <w:t>APPEAL</w:t>
      </w:r>
      <w:r w:rsidRPr="00DE5FEF">
        <w:rPr>
          <w:b/>
          <w:bCs/>
        </w:rPr>
        <w:t>:</w:t>
      </w:r>
    </w:p>
    <w:p w14:paraId="4C2DE635" w14:textId="77777777" w:rsidR="009D1A15" w:rsidRPr="00007EFB" w:rsidRDefault="009D1A15" w:rsidP="005E7EDE">
      <w:pPr>
        <w:rPr>
          <w:bCs/>
        </w:rPr>
      </w:pPr>
    </w:p>
    <w:p w14:paraId="17E5556D" w14:textId="77777777" w:rsidR="009D1A15" w:rsidRPr="00007EFB" w:rsidRDefault="009D1A15" w:rsidP="005E7EDE">
      <w:r w:rsidRPr="00007EFB">
        <w:t>We are required by law to provide you with the following information:</w:t>
      </w:r>
    </w:p>
    <w:p w14:paraId="540AE5BA" w14:textId="77777777" w:rsidR="009D1A15" w:rsidRPr="00007EFB" w:rsidRDefault="009D1A15" w:rsidP="005E7EDE"/>
    <w:p w14:paraId="411BF413" w14:textId="5053280E" w:rsidR="009D1A15" w:rsidRDefault="009D1A15" w:rsidP="005E7EDE">
      <w:pPr>
        <w:rPr>
          <w:bCs/>
        </w:rPr>
      </w:pPr>
      <w:r w:rsidRPr="00007EFB">
        <w:t>A</w:t>
      </w:r>
      <w:r w:rsidR="00515B8F">
        <w:t xml:space="preserve">n applicant for insurance </w:t>
      </w:r>
      <w:r w:rsidRPr="00007EFB">
        <w:rPr>
          <w:bCs/>
        </w:rPr>
        <w:t xml:space="preserve">who </w:t>
      </w:r>
      <w:r w:rsidRPr="00007EFB">
        <w:t>test</w:t>
      </w:r>
      <w:r w:rsidR="003D4C4F">
        <w:t>s</w:t>
      </w:r>
      <w:r w:rsidRPr="00007EFB">
        <w:t xml:space="preserve"> positive under this testing protocol certified by the </w:t>
      </w:r>
      <w:r w:rsidR="00F15E5A">
        <w:rPr>
          <w:bCs/>
        </w:rPr>
        <w:t>Direct</w:t>
      </w:r>
      <w:r w:rsidR="003D4C4F">
        <w:rPr>
          <w:bCs/>
        </w:rPr>
        <w:t>or</w:t>
      </w:r>
      <w:r w:rsidR="00F15E5A">
        <w:rPr>
          <w:bCs/>
        </w:rPr>
        <w:t xml:space="preserve"> of the Department</w:t>
      </w:r>
      <w:r w:rsidR="003D4C4F">
        <w:rPr>
          <w:bCs/>
        </w:rPr>
        <w:t xml:space="preserve"> of </w:t>
      </w:r>
      <w:r w:rsidRPr="00007EFB">
        <w:rPr>
          <w:bCs/>
        </w:rPr>
        <w:t xml:space="preserve">Health may appeal to </w:t>
      </w:r>
      <w:r w:rsidRPr="00007EFB">
        <w:t xml:space="preserve">the Commissioner </w:t>
      </w:r>
      <w:r w:rsidRPr="00007EFB">
        <w:rPr>
          <w:bCs/>
        </w:rPr>
        <w:t xml:space="preserve">of the </w:t>
      </w:r>
      <w:r w:rsidRPr="00007EFB">
        <w:t xml:space="preserve">Department </w:t>
      </w:r>
      <w:r w:rsidRPr="00007EFB">
        <w:rPr>
          <w:bCs/>
        </w:rPr>
        <w:t xml:space="preserve">of </w:t>
      </w:r>
      <w:r w:rsidRPr="00007EFB">
        <w:t>Insurance</w:t>
      </w:r>
      <w:r w:rsidR="00F15E5A">
        <w:t>,</w:t>
      </w:r>
      <w:r w:rsidRPr="00007EFB">
        <w:t xml:space="preserve"> Securities </w:t>
      </w:r>
      <w:r w:rsidR="00F15E5A">
        <w:rPr>
          <w:bCs/>
        </w:rPr>
        <w:t>and Banking</w:t>
      </w:r>
      <w:r w:rsidRPr="00007EFB">
        <w:rPr>
          <w:bCs/>
        </w:rPr>
        <w:t xml:space="preserve"> to </w:t>
      </w:r>
      <w:r w:rsidRPr="00007EFB">
        <w:t xml:space="preserve">review </w:t>
      </w:r>
      <w:r w:rsidRPr="00007EFB">
        <w:rPr>
          <w:bCs/>
        </w:rPr>
        <w:t xml:space="preserve">the </w:t>
      </w:r>
      <w:r w:rsidRPr="00007EFB">
        <w:t>testing procedure</w:t>
      </w:r>
      <w:r w:rsidR="00515B8F">
        <w:t>s</w:t>
      </w:r>
      <w:r w:rsidRPr="00007EFB">
        <w:t xml:space="preserve"> and result</w:t>
      </w:r>
      <w:r w:rsidR="00515B8F">
        <w:t>s</w:t>
      </w:r>
      <w:r w:rsidRPr="00007EFB">
        <w:t xml:space="preserve">, and </w:t>
      </w:r>
      <w:r w:rsidRPr="00007EFB">
        <w:rPr>
          <w:bCs/>
        </w:rPr>
        <w:t xml:space="preserve">may present </w:t>
      </w:r>
      <w:r w:rsidRPr="00007EFB">
        <w:t xml:space="preserve">additional medical evidence, including </w:t>
      </w:r>
      <w:r w:rsidRPr="00007EFB">
        <w:rPr>
          <w:bCs/>
        </w:rPr>
        <w:t xml:space="preserve">the </w:t>
      </w:r>
      <w:r w:rsidRPr="00007EFB">
        <w:t xml:space="preserve">result </w:t>
      </w:r>
      <w:r w:rsidRPr="00007EFB">
        <w:rPr>
          <w:bCs/>
        </w:rPr>
        <w:t xml:space="preserve">of </w:t>
      </w:r>
      <w:r w:rsidRPr="00007EFB">
        <w:t xml:space="preserve">similar tests </w:t>
      </w:r>
      <w:r w:rsidRPr="00007EFB">
        <w:rPr>
          <w:bCs/>
        </w:rPr>
        <w:t xml:space="preserve">for exposure to the probable causative agent of AIDS </w:t>
      </w:r>
      <w:r w:rsidRPr="00007EFB">
        <w:t xml:space="preserve">that </w:t>
      </w:r>
      <w:r w:rsidRPr="00007EFB">
        <w:rPr>
          <w:bCs/>
        </w:rPr>
        <w:t xml:space="preserve">the named </w:t>
      </w:r>
      <w:r w:rsidR="00515B8F">
        <w:rPr>
          <w:bCs/>
        </w:rPr>
        <w:t xml:space="preserve">applicant </w:t>
      </w:r>
      <w:r w:rsidRPr="00007EFB">
        <w:rPr>
          <w:bCs/>
        </w:rPr>
        <w:t>independently obtains</w:t>
      </w:r>
      <w:r w:rsidRPr="00007EFB">
        <w:t xml:space="preserve">. </w:t>
      </w:r>
      <w:r w:rsidRPr="00007EFB">
        <w:rPr>
          <w:bCs/>
        </w:rPr>
        <w:t xml:space="preserve">The Commissioner of the </w:t>
      </w:r>
      <w:r w:rsidRPr="00007EFB">
        <w:t xml:space="preserve">Department </w:t>
      </w:r>
      <w:r w:rsidRPr="00007EFB">
        <w:rPr>
          <w:bCs/>
        </w:rPr>
        <w:t xml:space="preserve">of </w:t>
      </w:r>
      <w:r w:rsidR="00395B83">
        <w:t xml:space="preserve">Insurance, </w:t>
      </w:r>
      <w:r w:rsidRPr="00007EFB">
        <w:rPr>
          <w:bCs/>
        </w:rPr>
        <w:t xml:space="preserve">Securities </w:t>
      </w:r>
      <w:r w:rsidR="00395B83">
        <w:rPr>
          <w:bCs/>
        </w:rPr>
        <w:t>and Banking</w:t>
      </w:r>
      <w:r w:rsidRPr="00007EFB">
        <w:rPr>
          <w:bCs/>
        </w:rPr>
        <w:t xml:space="preserve"> </w:t>
      </w:r>
      <w:r w:rsidRPr="00007EFB">
        <w:t xml:space="preserve">can </w:t>
      </w:r>
      <w:r w:rsidRPr="00007EFB">
        <w:rPr>
          <w:bCs/>
        </w:rPr>
        <w:t xml:space="preserve">be reached at the following address: 810 First Street, NE, Suite 701, </w:t>
      </w:r>
      <w:r w:rsidRPr="00007EFB">
        <w:t xml:space="preserve">Washington, </w:t>
      </w:r>
      <w:r w:rsidR="00D50D0C">
        <w:rPr>
          <w:bCs/>
        </w:rPr>
        <w:t>DC,</w:t>
      </w:r>
      <w:r w:rsidRPr="00007EFB">
        <w:rPr>
          <w:bCs/>
        </w:rPr>
        <w:t xml:space="preserve"> 20002.</w:t>
      </w:r>
      <w:r w:rsidR="00600A64">
        <w:rPr>
          <w:bCs/>
        </w:rPr>
        <w:t xml:space="preserve"> </w:t>
      </w:r>
    </w:p>
    <w:p w14:paraId="686F5F22" w14:textId="77777777" w:rsidR="00DE5FEF" w:rsidRDefault="00DE5FEF" w:rsidP="005E7EDE">
      <w:pPr>
        <w:rPr>
          <w:bCs/>
        </w:rPr>
      </w:pPr>
    </w:p>
    <w:p w14:paraId="13A17A37" w14:textId="77777777" w:rsidR="00DE5FEF" w:rsidRDefault="00DE5FEF" w:rsidP="005E7EDE">
      <w:pPr>
        <w:rPr>
          <w:bCs/>
        </w:rPr>
      </w:pPr>
    </w:p>
    <w:p w14:paraId="34DA41CF" w14:textId="77777777" w:rsidR="00DE5FEF" w:rsidRDefault="00DE5FEF" w:rsidP="005E7EDE">
      <w:pPr>
        <w:rPr>
          <w:bCs/>
        </w:rPr>
      </w:pPr>
    </w:p>
    <w:p w14:paraId="341B7406" w14:textId="77777777" w:rsidR="00DE5FEF" w:rsidRDefault="00DE5FEF" w:rsidP="005E7EDE">
      <w:pPr>
        <w:rPr>
          <w:bCs/>
        </w:rPr>
      </w:pPr>
    </w:p>
    <w:p w14:paraId="1C3ECB25" w14:textId="77777777" w:rsidR="00DE5FEF" w:rsidRPr="00007EFB" w:rsidRDefault="00DE5FEF" w:rsidP="005E7EDE">
      <w:pPr>
        <w:rPr>
          <w:bCs/>
        </w:rPr>
      </w:pPr>
      <w:r>
        <w:rPr>
          <w:bCs/>
        </w:rPr>
        <w:t>_____________________________</w:t>
      </w:r>
      <w:r>
        <w:rPr>
          <w:bCs/>
        </w:rPr>
        <w:tab/>
      </w:r>
      <w:r>
        <w:rPr>
          <w:bCs/>
        </w:rPr>
        <w:tab/>
      </w:r>
      <w:r>
        <w:rPr>
          <w:bCs/>
        </w:rPr>
        <w:tab/>
        <w:t>________________________________</w:t>
      </w:r>
    </w:p>
    <w:p w14:paraId="3004106D" w14:textId="77777777" w:rsidR="009D1A15" w:rsidRPr="00007EFB" w:rsidRDefault="009D1A15" w:rsidP="005E7EDE">
      <w:r w:rsidRPr="00007EFB">
        <w:rPr>
          <w:bCs/>
        </w:rPr>
        <w:t>Date</w:t>
      </w:r>
      <w:r w:rsidR="00DE5FEF">
        <w:rPr>
          <w:bCs/>
        </w:rPr>
        <w:tab/>
      </w:r>
      <w:r w:rsidR="00DE5FEF">
        <w:rPr>
          <w:bCs/>
        </w:rPr>
        <w:tab/>
      </w:r>
      <w:r w:rsidR="00DE5FEF">
        <w:rPr>
          <w:bCs/>
        </w:rPr>
        <w:tab/>
      </w:r>
      <w:r w:rsidR="00DE5FEF">
        <w:rPr>
          <w:bCs/>
        </w:rPr>
        <w:tab/>
      </w:r>
      <w:r w:rsidR="00DE5FEF">
        <w:rPr>
          <w:bCs/>
        </w:rPr>
        <w:tab/>
      </w:r>
      <w:r w:rsidRPr="00007EFB">
        <w:rPr>
          <w:bCs/>
        </w:rPr>
        <w:tab/>
      </w:r>
      <w:r w:rsidRPr="00007EFB">
        <w:rPr>
          <w:bCs/>
        </w:rPr>
        <w:tab/>
      </w:r>
      <w:r w:rsidRPr="00007EFB">
        <w:t xml:space="preserve">Signature </w:t>
      </w:r>
      <w:r w:rsidRPr="00007EFB">
        <w:rPr>
          <w:bCs/>
        </w:rPr>
        <w:t xml:space="preserve">of </w:t>
      </w:r>
      <w:r w:rsidRPr="00007EFB">
        <w:t>Proposed Insured or</w:t>
      </w:r>
    </w:p>
    <w:p w14:paraId="26F6F21A" w14:textId="77777777" w:rsidR="009D1A15" w:rsidRPr="00007EFB" w:rsidRDefault="00DE5FEF" w:rsidP="005E7EDE">
      <w:r>
        <w:tab/>
      </w:r>
      <w:r>
        <w:tab/>
      </w:r>
      <w:r>
        <w:tab/>
      </w:r>
      <w:r>
        <w:tab/>
      </w:r>
      <w:r>
        <w:tab/>
      </w:r>
      <w:r w:rsidR="009D1A15" w:rsidRPr="00007EFB">
        <w:tab/>
      </w:r>
      <w:r w:rsidR="009D1A15" w:rsidRPr="00007EFB">
        <w:tab/>
        <w:t>Parent/Guardian</w:t>
      </w:r>
    </w:p>
    <w:p w14:paraId="6AB29461" w14:textId="77777777" w:rsidR="00DE5FEF" w:rsidRDefault="00DE5FEF" w:rsidP="005E7EDE">
      <w:pPr>
        <w:rPr>
          <w:u w:val="single"/>
        </w:rPr>
      </w:pPr>
    </w:p>
    <w:p w14:paraId="5FF32B46" w14:textId="77777777" w:rsidR="00DE5FEF" w:rsidRDefault="00DE5FEF" w:rsidP="005E7EDE">
      <w:pPr>
        <w:rPr>
          <w:u w:val="single"/>
        </w:rPr>
      </w:pPr>
    </w:p>
    <w:p w14:paraId="0ECFF4B3" w14:textId="77777777" w:rsidR="00DE5FEF" w:rsidRDefault="00DE5FEF" w:rsidP="005E7EDE">
      <w:pPr>
        <w:rPr>
          <w:u w:val="single"/>
        </w:rPr>
      </w:pPr>
    </w:p>
    <w:p w14:paraId="5AEB2974" w14:textId="77777777" w:rsidR="00DE5FEF" w:rsidRDefault="00DE5FEF" w:rsidP="005E7EDE">
      <w:pPr>
        <w:rPr>
          <w:u w:val="single"/>
        </w:rPr>
      </w:pPr>
    </w:p>
    <w:p w14:paraId="0AA22A59" w14:textId="77777777" w:rsidR="00DE5FEF" w:rsidRDefault="00DE5FEF" w:rsidP="005E7EDE">
      <w:pPr>
        <w:rPr>
          <w:u w:val="single"/>
        </w:rPr>
      </w:pPr>
    </w:p>
    <w:p w14:paraId="0A3F5EB1" w14:textId="370AB515" w:rsidR="0003149E" w:rsidRPr="00F40897" w:rsidRDefault="00E449F9" w:rsidP="0003149E">
      <w:pPr>
        <w:rPr>
          <w:b/>
          <w:u w:val="single"/>
        </w:rPr>
      </w:pPr>
      <w:r>
        <w:rPr>
          <w:b/>
          <w:u w:val="single"/>
        </w:rPr>
        <w:br/>
      </w:r>
      <w:r w:rsidR="0003149E" w:rsidRPr="00F40897">
        <w:rPr>
          <w:b/>
          <w:u w:val="single"/>
        </w:rPr>
        <w:lastRenderedPageBreak/>
        <w:t>HIV TEST FOR SCREENING AND DIAGNOSIS</w:t>
      </w:r>
      <w:r w:rsidR="00F40897">
        <w:rPr>
          <w:b/>
          <w:u w:val="single"/>
        </w:rPr>
        <w:t>:</w:t>
      </w:r>
    </w:p>
    <w:p w14:paraId="3C207548" w14:textId="77777777" w:rsidR="0003149E" w:rsidRPr="0003149E" w:rsidRDefault="0003149E" w:rsidP="0003149E">
      <w:pPr>
        <w:rPr>
          <w:b/>
        </w:rPr>
      </w:pPr>
    </w:p>
    <w:p w14:paraId="444021D9" w14:textId="2EC0D752" w:rsidR="0003149E" w:rsidRDefault="00D06B18" w:rsidP="0003149E">
      <w:r>
        <w:rPr>
          <w:bCs/>
        </w:rPr>
        <w:t xml:space="preserve">As </w:t>
      </w:r>
      <w:r w:rsidR="000B0676">
        <w:rPr>
          <w:bCs/>
        </w:rPr>
        <w:t xml:space="preserve">HIV testing </w:t>
      </w:r>
      <w:r>
        <w:rPr>
          <w:bCs/>
        </w:rPr>
        <w:t>technology</w:t>
      </w:r>
      <w:r w:rsidR="000B0676">
        <w:rPr>
          <w:bCs/>
        </w:rPr>
        <w:t xml:space="preserve"> progresses</w:t>
      </w:r>
      <w:r>
        <w:rPr>
          <w:bCs/>
        </w:rPr>
        <w:t xml:space="preserve"> </w:t>
      </w:r>
      <w:r w:rsidR="00EE495A">
        <w:rPr>
          <w:bCs/>
        </w:rPr>
        <w:t xml:space="preserve">and the District of Columbia Department of Health updates its recommendations, </w:t>
      </w:r>
      <w:r>
        <w:rPr>
          <w:bCs/>
        </w:rPr>
        <w:t>the Departme</w:t>
      </w:r>
      <w:r w:rsidR="00EE495A">
        <w:rPr>
          <w:bCs/>
        </w:rPr>
        <w:t xml:space="preserve">nt of Insurance, Securities and </w:t>
      </w:r>
      <w:r>
        <w:rPr>
          <w:bCs/>
        </w:rPr>
        <w:t>Banking reserves</w:t>
      </w:r>
      <w:r w:rsidR="00515B8F">
        <w:rPr>
          <w:bCs/>
        </w:rPr>
        <w:t xml:space="preserve"> its</w:t>
      </w:r>
      <w:r>
        <w:rPr>
          <w:bCs/>
        </w:rPr>
        <w:t xml:space="preserve"> right</w:t>
      </w:r>
      <w:r w:rsidR="0005749C">
        <w:rPr>
          <w:bCs/>
        </w:rPr>
        <w:t xml:space="preserve"> </w:t>
      </w:r>
      <w:r w:rsidR="00DC5F04">
        <w:rPr>
          <w:bCs/>
        </w:rPr>
        <w:t xml:space="preserve">to </w:t>
      </w:r>
      <w:r w:rsidR="0005749C">
        <w:rPr>
          <w:bCs/>
        </w:rPr>
        <w:t>modify its minimum standard for testing protocols</w:t>
      </w:r>
      <w:r w:rsidR="00E449F9">
        <w:rPr>
          <w:bCs/>
        </w:rPr>
        <w:t>.</w:t>
      </w:r>
      <w:r w:rsidR="000B0676">
        <w:rPr>
          <w:bCs/>
        </w:rPr>
        <w:t xml:space="preserve"> </w:t>
      </w:r>
      <w:r w:rsidR="00E449F9">
        <w:rPr>
          <w:bCs/>
        </w:rPr>
        <w:t xml:space="preserve">Insurance issuers paying for the administration of the test must comply accordingly with the Department’s minimum standards. </w:t>
      </w:r>
      <w:r>
        <w:rPr>
          <w:bCs/>
        </w:rPr>
        <w:br/>
      </w:r>
      <w:r>
        <w:br/>
      </w:r>
      <w:r w:rsidR="0003149E" w:rsidRPr="0003149E">
        <w:t>There are three types of HIV diagnostic tests: antibody tests, antigen/antibody tests, and nucleic acid (RNA) tests. Antibody tests detect antibodies, proteins that your body makes against HIV, not HIV itself. Antigen tests and RNA tests detect HIV directly.</w:t>
      </w:r>
      <w:r w:rsidR="00EE495A">
        <w:t xml:space="preserve"> </w:t>
      </w:r>
    </w:p>
    <w:p w14:paraId="33B47A01" w14:textId="77777777" w:rsidR="00EE495A" w:rsidRDefault="00EE495A" w:rsidP="0003149E"/>
    <w:p w14:paraId="39CCE3FA" w14:textId="0452C185" w:rsidR="00EE495A" w:rsidRPr="0003149E" w:rsidRDefault="00EE495A" w:rsidP="0003149E">
      <w:r>
        <w:t>The current testing protocol required in the District of Columbia is as follows:</w:t>
      </w:r>
    </w:p>
    <w:p w14:paraId="6B5F61BD" w14:textId="77777777" w:rsidR="0003149E" w:rsidRPr="0003149E" w:rsidRDefault="0003149E" w:rsidP="0003149E"/>
    <w:p w14:paraId="1EB58C6F" w14:textId="5B869749" w:rsidR="00EE495A" w:rsidRDefault="00243C1D" w:rsidP="0003149E">
      <w:r>
        <w:rPr>
          <w:b/>
        </w:rPr>
        <w:t xml:space="preserve">Initial Test: </w:t>
      </w:r>
      <w:r w:rsidRPr="00243C1D">
        <w:t>Tests</w:t>
      </w:r>
      <w:r w:rsidR="0003149E" w:rsidRPr="00243C1D">
        <w:t xml:space="preserve"> </w:t>
      </w:r>
      <w:r w:rsidR="00EE495A" w:rsidRPr="00EE495A">
        <w:t xml:space="preserve">for HIV </w:t>
      </w:r>
      <w:r w:rsidR="00203188">
        <w:t xml:space="preserve">shall be conducted </w:t>
      </w:r>
      <w:r w:rsidR="00EE495A" w:rsidRPr="00EE495A">
        <w:t>with an FDA-approved antigen/antibody combination (4th generation) immunoassay</w:t>
      </w:r>
      <w:r w:rsidR="00F93010">
        <w:rPr>
          <w:rStyle w:val="FootnoteReference"/>
        </w:rPr>
        <w:footnoteReference w:id="1"/>
      </w:r>
      <w:r w:rsidR="00EE495A" w:rsidRPr="00EE495A">
        <w:t xml:space="preserve"> that detects HIV-1 and HIV-2 antibodies and HIV-1 p24 antigen to screen for established infection with HIV-1 or HIV-2 and for acute HIV-1 infection. No further testing is required for specimens that are nonreactive on the initial immunoassay. </w:t>
      </w:r>
    </w:p>
    <w:p w14:paraId="68BCF29E" w14:textId="77777777" w:rsidR="00EE495A" w:rsidRDefault="00EE495A" w:rsidP="0003149E"/>
    <w:p w14:paraId="0C30E491" w14:textId="35D9346C" w:rsidR="00EE495A" w:rsidRPr="00EE495A" w:rsidRDefault="00EE495A" w:rsidP="00243C1D">
      <w:pPr>
        <w:ind w:left="720"/>
      </w:pPr>
      <w:r w:rsidRPr="00EE495A">
        <w:rPr>
          <w:i/>
        </w:rPr>
        <w:t>Rationale:</w:t>
      </w:r>
      <w:r w:rsidRPr="00EE495A">
        <w:t xml:space="preserve"> Initial testing with a 4th generation antigen/antibody combination immunoassay detects more acute HIV-1 infections than initial testing with a 3rd generation antibody immunoassay and identifies comparable numbers of established HIV-1 and HIV-2 infections, with comparable specificity.</w:t>
      </w:r>
    </w:p>
    <w:p w14:paraId="5957C712" w14:textId="77777777" w:rsidR="00EE495A" w:rsidRDefault="00EE495A" w:rsidP="0003149E">
      <w:pPr>
        <w:rPr>
          <w:b/>
        </w:rPr>
      </w:pPr>
    </w:p>
    <w:p w14:paraId="45357CAE" w14:textId="04A7EC2B" w:rsidR="0003149E" w:rsidRPr="0003149E" w:rsidRDefault="0003149E" w:rsidP="0003149E">
      <w:r w:rsidRPr="0003149E">
        <w:t>Blood tests can detect HIV infection sooner after exposure than oral fluid tests because the level of antibody in blood is higher than it is in oral fluid. Likewise, antigen/antibody and RNA tests detect infection in blood before antibody tests. Some newer antigen/antibody lab tests can sometimes find HIV as soon as 3 weeks after exposure to the virus. No antigen/antibody or RNA tests are available for oral fluid.</w:t>
      </w:r>
    </w:p>
    <w:p w14:paraId="2FFD0424" w14:textId="77777777" w:rsidR="0003149E" w:rsidRPr="0003149E" w:rsidRDefault="0003149E" w:rsidP="0003149E"/>
    <w:p w14:paraId="4B69487D" w14:textId="6F49C206" w:rsidR="00243C1D" w:rsidRDefault="00243C1D" w:rsidP="0003149E">
      <w:r>
        <w:rPr>
          <w:b/>
        </w:rPr>
        <w:t>Follow-up T</w:t>
      </w:r>
      <w:r w:rsidR="0003149E" w:rsidRPr="0003149E">
        <w:rPr>
          <w:b/>
        </w:rPr>
        <w:t>esting</w:t>
      </w:r>
      <w:r>
        <w:rPr>
          <w:b/>
        </w:rPr>
        <w:t xml:space="preserve">: </w:t>
      </w:r>
      <w:r w:rsidR="0003149E" w:rsidRPr="0003149E">
        <w:t xml:space="preserve"> </w:t>
      </w:r>
      <w:r w:rsidR="00161896" w:rsidRPr="0003149E">
        <w:t xml:space="preserve">HIV tests are generally very accurate, but follow-up testing allows you and your health care provider to be sure the diagnosis is right. </w:t>
      </w:r>
      <w:r>
        <w:t xml:space="preserve">Specimens with a reactive antigen/antibody combination immunoassay result (or repeatedly reactive, if repeat testing is recommended by the manufacturer or required by regulatory authorities) should be tested with an FDA-approved antibody immunoassay that differentiates HIV-1 antibodies from HIV-2 antibodies. Reactive results on the initial antigen/antibody combination immunoassay and the HIV-1/HIV-2 antibody differentiation immunoassay should be interpreted as positive for HIV-1 antibodies, HIV- 2 antibodies, or HIV-1 and HIV-2 antibodies, undifferentiated. </w:t>
      </w:r>
    </w:p>
    <w:p w14:paraId="4E4E1F9D" w14:textId="77777777" w:rsidR="00243C1D" w:rsidRDefault="00243C1D" w:rsidP="0003149E"/>
    <w:p w14:paraId="31C5A50E" w14:textId="210EC2A6" w:rsidR="00243C1D" w:rsidRPr="00243C1D" w:rsidRDefault="00243C1D" w:rsidP="00243C1D">
      <w:pPr>
        <w:ind w:left="720"/>
        <w:rPr>
          <w:i/>
        </w:rPr>
      </w:pPr>
      <w:r w:rsidRPr="00243C1D">
        <w:rPr>
          <w:i/>
        </w:rPr>
        <w:t xml:space="preserve">Rationale: </w:t>
      </w:r>
      <w:r w:rsidRPr="00243C1D">
        <w:t xml:space="preserve">Use of the HIV-1/HIV-2 antibody differentiation assay after a reactive initial 4th generation HIV-1/HIV-2 antibody immunoassay detects HIV-1 antibodies earlier than the HIV-1 Western blot, reduces indeterminate results, and identifies </w:t>
      </w:r>
      <w:r w:rsidRPr="00243C1D">
        <w:lastRenderedPageBreak/>
        <w:t>HIV-2 infections. Turnaround time for test results is shorter and the cost is lower for the HIV- 1/HIV-2 antibody differentiation assay compared with the HIV-1 Western blot. Available evidence is insufficient to recommend specific additional testing, without clinical follow-up, for specimens that are dually reactive for HIV-1 and HIV-2 antibodies on the differentiation immunoassay.</w:t>
      </w:r>
    </w:p>
    <w:p w14:paraId="3D0920A1" w14:textId="77777777" w:rsidR="00243C1D" w:rsidRDefault="00243C1D" w:rsidP="0003149E"/>
    <w:p w14:paraId="4C804611" w14:textId="77777777" w:rsidR="009D1A15" w:rsidRPr="00F114B1" w:rsidRDefault="009D1A15" w:rsidP="008D773A">
      <w:pPr>
        <w:rPr>
          <w:b/>
          <w:bCs/>
          <w:u w:val="single"/>
        </w:rPr>
      </w:pPr>
      <w:r w:rsidRPr="00F114B1">
        <w:rPr>
          <w:b/>
          <w:bCs/>
          <w:u w:val="single"/>
        </w:rPr>
        <w:t>PROPORTION OF FALSE POSITIVE RESULTS</w:t>
      </w:r>
      <w:r w:rsidR="008D773A">
        <w:rPr>
          <w:b/>
          <w:bCs/>
          <w:u w:val="single"/>
        </w:rPr>
        <w:t xml:space="preserve"> </w:t>
      </w:r>
      <w:r w:rsidRPr="00F114B1">
        <w:rPr>
          <w:b/>
          <w:u w:val="single"/>
        </w:rPr>
        <w:t>EXPECTED</w:t>
      </w:r>
      <w:r w:rsidR="008B575C">
        <w:rPr>
          <w:b/>
          <w:u w:val="single"/>
        </w:rPr>
        <w:t>:</w:t>
      </w:r>
    </w:p>
    <w:p w14:paraId="700CC58D" w14:textId="77777777" w:rsidR="009D1A15" w:rsidRPr="00007EFB" w:rsidRDefault="009D1A15" w:rsidP="005E7EDE">
      <w:pPr>
        <w:rPr>
          <w:bCs/>
        </w:rPr>
      </w:pPr>
    </w:p>
    <w:p w14:paraId="3503A816" w14:textId="77777777" w:rsidR="009D1A15" w:rsidRPr="00007EFB" w:rsidRDefault="009D1A15" w:rsidP="005E7EDE">
      <w:pPr>
        <w:rPr>
          <w:bCs/>
        </w:rPr>
      </w:pPr>
      <w:r w:rsidRPr="00007EFB">
        <w:rPr>
          <w:bCs/>
        </w:rPr>
        <w:t xml:space="preserve">According to the </w:t>
      </w:r>
      <w:r w:rsidRPr="00007EFB">
        <w:t xml:space="preserve">Centers </w:t>
      </w:r>
      <w:r w:rsidRPr="00007EFB">
        <w:rPr>
          <w:bCs/>
        </w:rPr>
        <w:t xml:space="preserve">for </w:t>
      </w:r>
      <w:r w:rsidRPr="00007EFB">
        <w:t xml:space="preserve">Disease Control and Prevention clinical </w:t>
      </w:r>
      <w:r w:rsidRPr="00007EFB">
        <w:rPr>
          <w:bCs/>
        </w:rPr>
        <w:t xml:space="preserve">data </w:t>
      </w:r>
      <w:r w:rsidRPr="00007EFB">
        <w:t xml:space="preserve">submitted </w:t>
      </w:r>
      <w:r w:rsidRPr="00007EFB">
        <w:rPr>
          <w:bCs/>
        </w:rPr>
        <w:t xml:space="preserve">by the </w:t>
      </w:r>
      <w:r w:rsidRPr="00007EFB">
        <w:t xml:space="preserve">manufacturers </w:t>
      </w:r>
      <w:r w:rsidRPr="00007EFB">
        <w:rPr>
          <w:bCs/>
        </w:rPr>
        <w:t xml:space="preserve">of </w:t>
      </w:r>
      <w:r w:rsidRPr="00007EFB">
        <w:t xml:space="preserve">Human </w:t>
      </w:r>
      <w:r w:rsidR="00007EFB" w:rsidRPr="00007EFB">
        <w:t>Immunodeficiency</w:t>
      </w:r>
      <w:r w:rsidRPr="00007EFB">
        <w:t xml:space="preserve"> Virus (</w:t>
      </w:r>
      <w:r w:rsidR="00336843">
        <w:t>HI</w:t>
      </w:r>
      <w:r w:rsidRPr="00007EFB">
        <w:t xml:space="preserve">V) antibody tests </w:t>
      </w:r>
      <w:r w:rsidRPr="00007EFB">
        <w:rPr>
          <w:bCs/>
        </w:rPr>
        <w:t xml:space="preserve">to the Food </w:t>
      </w:r>
      <w:r w:rsidRPr="00007EFB">
        <w:t xml:space="preserve">and Drug </w:t>
      </w:r>
      <w:r w:rsidRPr="00007EFB">
        <w:rPr>
          <w:bCs/>
        </w:rPr>
        <w:t xml:space="preserve">Administration </w:t>
      </w:r>
      <w:r w:rsidRPr="00F114B1">
        <w:rPr>
          <w:bCs/>
          <w:iCs/>
        </w:rPr>
        <w:t>(FDA)</w:t>
      </w:r>
      <w:r w:rsidRPr="00007EFB">
        <w:rPr>
          <w:bCs/>
          <w:i/>
          <w:iCs/>
        </w:rPr>
        <w:t xml:space="preserve"> </w:t>
      </w:r>
      <w:r w:rsidRPr="00007EFB">
        <w:rPr>
          <w:bCs/>
        </w:rPr>
        <w:t xml:space="preserve">for </w:t>
      </w:r>
      <w:r w:rsidRPr="00007EFB">
        <w:t xml:space="preserve">licensure indicate </w:t>
      </w:r>
      <w:r w:rsidRPr="00007EFB">
        <w:rPr>
          <w:bCs/>
        </w:rPr>
        <w:t xml:space="preserve">that </w:t>
      </w:r>
      <w:r w:rsidRPr="00007EFB">
        <w:t xml:space="preserve">sensitivity and specificity </w:t>
      </w:r>
      <w:r w:rsidRPr="00007EFB">
        <w:rPr>
          <w:bCs/>
        </w:rPr>
        <w:t xml:space="preserve">of </w:t>
      </w:r>
      <w:r w:rsidRPr="00007EFB">
        <w:t xml:space="preserve">tests </w:t>
      </w:r>
      <w:r w:rsidRPr="00007EFB">
        <w:rPr>
          <w:bCs/>
        </w:rPr>
        <w:t xml:space="preserve">currently marketed in the </w:t>
      </w:r>
      <w:r w:rsidRPr="00007EFB">
        <w:t xml:space="preserve">United States </w:t>
      </w:r>
      <w:r w:rsidRPr="00007EFB">
        <w:rPr>
          <w:bCs/>
        </w:rPr>
        <w:t>are greater than 99%.</w:t>
      </w:r>
    </w:p>
    <w:p w14:paraId="68542330" w14:textId="77777777" w:rsidR="009D1A15" w:rsidRPr="00007EFB" w:rsidRDefault="009D1A15" w:rsidP="005E7EDE">
      <w:pPr>
        <w:rPr>
          <w:bCs/>
        </w:rPr>
      </w:pPr>
    </w:p>
    <w:p w14:paraId="7ED6E869" w14:textId="7AABCEF5" w:rsidR="009D1A15" w:rsidRPr="00007EFB" w:rsidRDefault="00F114B1" w:rsidP="005E7EDE">
      <w:r>
        <w:rPr>
          <w:bCs/>
        </w:rPr>
        <w:t xml:space="preserve">All </w:t>
      </w:r>
      <w:r w:rsidR="009D1A15" w:rsidRPr="00007EFB">
        <w:rPr>
          <w:bCs/>
        </w:rPr>
        <w:t xml:space="preserve">blood, </w:t>
      </w:r>
      <w:r w:rsidR="009D1A15" w:rsidRPr="00007EFB">
        <w:t xml:space="preserve">oral </w:t>
      </w:r>
      <w:r w:rsidR="009D1A15" w:rsidRPr="00007EFB">
        <w:rPr>
          <w:bCs/>
        </w:rPr>
        <w:t xml:space="preserve">fluid </w:t>
      </w:r>
      <w:r w:rsidR="009D1A15" w:rsidRPr="00007EFB">
        <w:t xml:space="preserve">and </w:t>
      </w:r>
      <w:r w:rsidR="009D1A15" w:rsidRPr="00007EFB">
        <w:rPr>
          <w:bCs/>
        </w:rPr>
        <w:t xml:space="preserve">protocols </w:t>
      </w:r>
      <w:r w:rsidR="009D1A15" w:rsidRPr="00007EFB">
        <w:t xml:space="preserve">licensed </w:t>
      </w:r>
      <w:r w:rsidR="009D1A15" w:rsidRPr="00007EFB">
        <w:rPr>
          <w:bCs/>
        </w:rPr>
        <w:t xml:space="preserve">by the FDA follow the same test </w:t>
      </w:r>
      <w:r w:rsidR="009D1A15" w:rsidRPr="00007EFB">
        <w:t xml:space="preserve">algorithm: specimens are tested singly </w:t>
      </w:r>
      <w:r w:rsidR="009D1A15" w:rsidRPr="00007EFB">
        <w:rPr>
          <w:bCs/>
        </w:rPr>
        <w:t xml:space="preserve">by </w:t>
      </w:r>
      <w:r w:rsidR="00966647">
        <w:rPr>
          <w:bCs/>
        </w:rPr>
        <w:t xml:space="preserve">either </w:t>
      </w:r>
      <w:r w:rsidR="007C0BDA">
        <w:rPr>
          <w:bCs/>
        </w:rPr>
        <w:t>a</w:t>
      </w:r>
      <w:r w:rsidR="00966647">
        <w:rPr>
          <w:bCs/>
        </w:rPr>
        <w:t xml:space="preserve"> screening enzyme immunoassay</w:t>
      </w:r>
      <w:r w:rsidR="004C294F">
        <w:rPr>
          <w:bCs/>
        </w:rPr>
        <w:t xml:space="preserve"> </w:t>
      </w:r>
      <w:r w:rsidR="00966647">
        <w:rPr>
          <w:bCs/>
        </w:rPr>
        <w:t>or a</w:t>
      </w:r>
      <w:r w:rsidR="007C0BDA">
        <w:rPr>
          <w:bCs/>
        </w:rPr>
        <w:t xml:space="preserve"> 4</w:t>
      </w:r>
      <w:r w:rsidR="007C0BDA" w:rsidRPr="00547EDC">
        <w:rPr>
          <w:bCs/>
          <w:vertAlign w:val="superscript"/>
        </w:rPr>
        <w:t>th</w:t>
      </w:r>
      <w:r w:rsidR="007C0BDA">
        <w:rPr>
          <w:bCs/>
        </w:rPr>
        <w:t xml:space="preserve"> generation antigen/antibody combination assay</w:t>
      </w:r>
      <w:r w:rsidR="00CB6571">
        <w:rPr>
          <w:bCs/>
        </w:rPr>
        <w:t xml:space="preserve">, </w:t>
      </w:r>
      <w:r w:rsidR="009D1A15" w:rsidRPr="00007EFB">
        <w:t xml:space="preserve">and if found reactive are retested in duplicate. </w:t>
      </w:r>
      <w:r w:rsidR="009D1A15" w:rsidRPr="00007EFB">
        <w:rPr>
          <w:bCs/>
        </w:rPr>
        <w:t xml:space="preserve">If </w:t>
      </w:r>
      <w:r w:rsidR="009D1A15" w:rsidRPr="00007EFB">
        <w:t xml:space="preserve">either </w:t>
      </w:r>
      <w:r w:rsidR="009D1A15" w:rsidRPr="00007EFB">
        <w:rPr>
          <w:bCs/>
        </w:rPr>
        <w:t xml:space="preserve">duplicate is </w:t>
      </w:r>
      <w:r w:rsidR="009D1A15" w:rsidRPr="00007EFB">
        <w:t xml:space="preserve">reactive, </w:t>
      </w:r>
      <w:r w:rsidR="009D1A15" w:rsidRPr="00007EFB">
        <w:rPr>
          <w:bCs/>
        </w:rPr>
        <w:t xml:space="preserve">the </w:t>
      </w:r>
      <w:r w:rsidR="009D1A15" w:rsidRPr="00007EFB">
        <w:t xml:space="preserve">specimen </w:t>
      </w:r>
      <w:r w:rsidR="009D1A15" w:rsidRPr="00007EFB">
        <w:rPr>
          <w:bCs/>
        </w:rPr>
        <w:t xml:space="preserve">is </w:t>
      </w:r>
      <w:r w:rsidR="009D1A15" w:rsidRPr="00007EFB">
        <w:t xml:space="preserve">considered repeatedly reactive and is submitted </w:t>
      </w:r>
      <w:r w:rsidR="009D1A15" w:rsidRPr="00007EFB">
        <w:rPr>
          <w:bCs/>
        </w:rPr>
        <w:t xml:space="preserve">for </w:t>
      </w:r>
      <w:r w:rsidR="00CB6571">
        <w:rPr>
          <w:bCs/>
        </w:rPr>
        <w:t xml:space="preserve">further testing using </w:t>
      </w:r>
      <w:r w:rsidR="00D06B18">
        <w:rPr>
          <w:bCs/>
        </w:rPr>
        <w:t xml:space="preserve">either </w:t>
      </w:r>
      <w:r w:rsidR="00CB6571">
        <w:rPr>
          <w:bCs/>
        </w:rPr>
        <w:t>a</w:t>
      </w:r>
      <w:r w:rsidR="00D06B18">
        <w:rPr>
          <w:bCs/>
        </w:rPr>
        <w:t xml:space="preserve"> FDA approved multi-spot test or an</w:t>
      </w:r>
      <w:r w:rsidR="00CB6571">
        <w:rPr>
          <w:bCs/>
        </w:rPr>
        <w:t xml:space="preserve"> HIV-1/HIV-2 antibody differentiation </w:t>
      </w:r>
      <w:r w:rsidR="000804FF">
        <w:rPr>
          <w:bCs/>
        </w:rPr>
        <w:t>immunoassay. Specimens</w:t>
      </w:r>
      <w:r w:rsidR="00CB6571">
        <w:rPr>
          <w:bCs/>
        </w:rPr>
        <w:t xml:space="preserve"> found reactive by this second test are reported as positive for</w:t>
      </w:r>
      <w:r w:rsidR="000B0676">
        <w:rPr>
          <w:bCs/>
        </w:rPr>
        <w:t xml:space="preserve"> H</w:t>
      </w:r>
      <w:r w:rsidR="00CB6571">
        <w:rPr>
          <w:bCs/>
        </w:rPr>
        <w:t>IV antibodies.</w:t>
      </w:r>
      <w:r w:rsidR="009D1A15" w:rsidRPr="00007EFB">
        <w:rPr>
          <w:bCs/>
        </w:rPr>
        <w:t xml:space="preserve"> </w:t>
      </w:r>
      <w:r w:rsidR="009D1A15" w:rsidRPr="00007EFB">
        <w:t xml:space="preserve">Although a positive </w:t>
      </w:r>
      <w:r w:rsidR="00CB6571">
        <w:rPr>
          <w:bCs/>
        </w:rPr>
        <w:t>result</w:t>
      </w:r>
      <w:r w:rsidR="00CB6571" w:rsidRPr="00007EFB">
        <w:rPr>
          <w:bCs/>
        </w:rPr>
        <w:t xml:space="preserve"> </w:t>
      </w:r>
      <w:r w:rsidR="009D1A15" w:rsidRPr="00007EFB">
        <w:t xml:space="preserve">indicates infection with </w:t>
      </w:r>
      <w:r>
        <w:t>HIV</w:t>
      </w:r>
      <w:r w:rsidR="009D1A15" w:rsidRPr="00007EFB">
        <w:t xml:space="preserve">, a diagnosis </w:t>
      </w:r>
      <w:r w:rsidR="009D1A15" w:rsidRPr="00007EFB">
        <w:rPr>
          <w:bCs/>
        </w:rPr>
        <w:t xml:space="preserve">of Acquired Immunodeficiency Syndrome </w:t>
      </w:r>
      <w:r w:rsidR="009D1A15" w:rsidRPr="00007EFB">
        <w:t xml:space="preserve">(AIDS) </w:t>
      </w:r>
      <w:r w:rsidR="009D1A15" w:rsidRPr="00007EFB">
        <w:rPr>
          <w:bCs/>
        </w:rPr>
        <w:t xml:space="preserve">can only be </w:t>
      </w:r>
      <w:r w:rsidR="009D1A15" w:rsidRPr="00007EFB">
        <w:t xml:space="preserve">made clinically </w:t>
      </w:r>
      <w:r w:rsidR="009D1A15" w:rsidRPr="00007EFB">
        <w:rPr>
          <w:bCs/>
        </w:rPr>
        <w:t xml:space="preserve">if a </w:t>
      </w:r>
      <w:r w:rsidR="009D1A15" w:rsidRPr="00007EFB">
        <w:t xml:space="preserve">person meets </w:t>
      </w:r>
      <w:r w:rsidR="009D1A15" w:rsidRPr="00007EFB">
        <w:rPr>
          <w:bCs/>
        </w:rPr>
        <w:t xml:space="preserve">the </w:t>
      </w:r>
      <w:r w:rsidR="009D1A15" w:rsidRPr="00007EFB">
        <w:t xml:space="preserve">case definition </w:t>
      </w:r>
      <w:r w:rsidR="009D1A15" w:rsidRPr="00007EFB">
        <w:rPr>
          <w:bCs/>
        </w:rPr>
        <w:t xml:space="preserve">of </w:t>
      </w:r>
      <w:r w:rsidR="009D1A15" w:rsidRPr="00007EFB">
        <w:t xml:space="preserve">AIDS </w:t>
      </w:r>
      <w:r w:rsidR="009D1A15" w:rsidRPr="00007EFB">
        <w:rPr>
          <w:bCs/>
        </w:rPr>
        <w:t xml:space="preserve">established by the Centers for </w:t>
      </w:r>
      <w:r w:rsidR="009D1A15" w:rsidRPr="00007EFB">
        <w:t>Disease Control and Prevention</w:t>
      </w:r>
      <w:r w:rsidR="009D1A15" w:rsidRPr="00F114B1">
        <w:rPr>
          <w:vertAlign w:val="superscript"/>
        </w:rPr>
        <w:t>1</w:t>
      </w:r>
      <w:r w:rsidR="009D1A15" w:rsidRPr="00007EFB">
        <w:t>.</w:t>
      </w:r>
    </w:p>
    <w:p w14:paraId="159F0DA4" w14:textId="77777777" w:rsidR="009D1A15" w:rsidRPr="00007EFB" w:rsidRDefault="009D1A15" w:rsidP="005E7EDE"/>
    <w:p w14:paraId="11DB0C0C" w14:textId="74F0F0D9" w:rsidR="009D1A15" w:rsidRDefault="009D1A15" w:rsidP="005E7EDE">
      <w:pPr>
        <w:rPr>
          <w:bCs/>
        </w:rPr>
      </w:pPr>
      <w:r w:rsidRPr="00007EFB">
        <w:rPr>
          <w:bCs/>
        </w:rPr>
        <w:t xml:space="preserve">Data </w:t>
      </w:r>
      <w:r w:rsidR="00CB6571">
        <w:rPr>
          <w:bCs/>
        </w:rPr>
        <w:t>from multiple studies on 4</w:t>
      </w:r>
      <w:r w:rsidR="00CB6571" w:rsidRPr="00547EDC">
        <w:rPr>
          <w:bCs/>
          <w:vertAlign w:val="superscript"/>
        </w:rPr>
        <w:t>th</w:t>
      </w:r>
      <w:r w:rsidR="00CB6571">
        <w:rPr>
          <w:bCs/>
        </w:rPr>
        <w:t xml:space="preserve"> generation HIV tests demonstrated an overall sensitivity of 99.9-100%.</w:t>
      </w:r>
      <w:r w:rsidR="00F114B1">
        <w:rPr>
          <w:bCs/>
        </w:rPr>
        <w:t xml:space="preserve"> </w:t>
      </w:r>
      <w:r w:rsidRPr="00007EFB">
        <w:rPr>
          <w:bCs/>
        </w:rPr>
        <w:t xml:space="preserve">Thus the achievable </w:t>
      </w:r>
      <w:r w:rsidRPr="00007EFB">
        <w:t xml:space="preserve">false-positive rate </w:t>
      </w:r>
      <w:r w:rsidRPr="00007EFB">
        <w:rPr>
          <w:bCs/>
        </w:rPr>
        <w:t xml:space="preserve">of sequentially </w:t>
      </w:r>
      <w:r w:rsidRPr="00007EFB">
        <w:t xml:space="preserve">performed </w:t>
      </w:r>
      <w:r w:rsidR="00CB6571">
        <w:t>4th generation</w:t>
      </w:r>
      <w:r w:rsidRPr="00007EFB">
        <w:t xml:space="preserve"> </w:t>
      </w:r>
      <w:r w:rsidRPr="00007EFB">
        <w:rPr>
          <w:bCs/>
        </w:rPr>
        <w:t xml:space="preserve">tests can be less than </w:t>
      </w:r>
      <w:r w:rsidR="00F114B1">
        <w:rPr>
          <w:bCs/>
        </w:rPr>
        <w:t>0.</w:t>
      </w:r>
      <w:r w:rsidRPr="00007EFB">
        <w:rPr>
          <w:bCs/>
        </w:rPr>
        <w:t xml:space="preserve">1% or less than 1/1,000 </w:t>
      </w:r>
      <w:r w:rsidRPr="00007EFB">
        <w:t xml:space="preserve">persons </w:t>
      </w:r>
      <w:r w:rsidRPr="00007EFB">
        <w:rPr>
          <w:bCs/>
        </w:rPr>
        <w:t>tested.</w:t>
      </w:r>
    </w:p>
    <w:p w14:paraId="68F9967E" w14:textId="77777777" w:rsidR="00CE1703" w:rsidRDefault="00CE1703" w:rsidP="005E7EDE">
      <w:pPr>
        <w:rPr>
          <w:bCs/>
        </w:rPr>
      </w:pPr>
    </w:p>
    <w:p w14:paraId="6EB1C65C" w14:textId="5E0BE71E" w:rsidR="00CE1703" w:rsidRPr="00CE1703" w:rsidRDefault="00CE1703" w:rsidP="008A1315">
      <w:pPr>
        <w:rPr>
          <w:bCs/>
        </w:rPr>
      </w:pPr>
    </w:p>
    <w:p w14:paraId="5615ECE5" w14:textId="77777777" w:rsidR="00CE1703" w:rsidRPr="00007EFB" w:rsidRDefault="00CE1703" w:rsidP="005E7EDE">
      <w:pPr>
        <w:rPr>
          <w:bCs/>
        </w:rPr>
      </w:pPr>
    </w:p>
    <w:p w14:paraId="42097317" w14:textId="77777777" w:rsidR="00007FBE" w:rsidRDefault="009D1A15" w:rsidP="00F114B1">
      <w:pPr>
        <w:jc w:val="center"/>
      </w:pPr>
      <w:r w:rsidRPr="00007EFB">
        <w:br w:type="page"/>
      </w:r>
    </w:p>
    <w:p w14:paraId="69CFDD4F" w14:textId="77777777" w:rsidR="00007FBE" w:rsidRPr="00340286" w:rsidRDefault="00007FBE" w:rsidP="00007FBE">
      <w:pPr>
        <w:rPr>
          <w:b/>
          <w:bCs/>
          <w:u w:val="single"/>
        </w:rPr>
      </w:pPr>
      <w:r w:rsidRPr="00340286">
        <w:rPr>
          <w:b/>
          <w:bCs/>
          <w:u w:val="single"/>
        </w:rPr>
        <w:lastRenderedPageBreak/>
        <w:t>DISCLOSURE:</w:t>
      </w:r>
    </w:p>
    <w:p w14:paraId="666A084C" w14:textId="77777777" w:rsidR="00007FBE" w:rsidRDefault="00007FBE" w:rsidP="00007FBE">
      <w:pPr>
        <w:rPr>
          <w:bCs/>
        </w:rPr>
      </w:pPr>
    </w:p>
    <w:p w14:paraId="0CCD3B55" w14:textId="77B3FA62" w:rsidR="00007FBE" w:rsidRPr="008A1315" w:rsidRDefault="00007FBE" w:rsidP="00007FBE">
      <w:pPr>
        <w:rPr>
          <w:bCs/>
        </w:rPr>
      </w:pPr>
      <w:r>
        <w:rPr>
          <w:bCs/>
        </w:rPr>
        <w:t>R</w:t>
      </w:r>
      <w:r w:rsidRPr="00340286">
        <w:rPr>
          <w:bCs/>
        </w:rPr>
        <w:t xml:space="preserve">eference material </w:t>
      </w:r>
      <w:r>
        <w:rPr>
          <w:bCs/>
        </w:rPr>
        <w:t xml:space="preserve">provided in this notice and consent form </w:t>
      </w:r>
      <w:r w:rsidRPr="00340286">
        <w:rPr>
          <w:bCs/>
        </w:rPr>
        <w:t>is for informational purposes o</w:t>
      </w:r>
      <w:r>
        <w:rPr>
          <w:bCs/>
        </w:rPr>
        <w:t>nly. A</w:t>
      </w:r>
      <w:r w:rsidRPr="00340286">
        <w:rPr>
          <w:bCs/>
        </w:rPr>
        <w:t>pplicants for insurance who have questions should seek guidance from a professional health provider.</w:t>
      </w:r>
    </w:p>
    <w:p w14:paraId="373AE780" w14:textId="77777777" w:rsidR="00007FBE" w:rsidRDefault="00007FBE" w:rsidP="00F114B1">
      <w:pPr>
        <w:jc w:val="center"/>
      </w:pPr>
    </w:p>
    <w:p w14:paraId="1B69D611" w14:textId="3869D8B0" w:rsidR="009D1A15" w:rsidRPr="00007FBE" w:rsidRDefault="00F114B1" w:rsidP="00007FBE">
      <w:pPr>
        <w:rPr>
          <w:b/>
          <w:bCs/>
          <w:u w:val="single"/>
        </w:rPr>
      </w:pPr>
      <w:r w:rsidRPr="00007FBE">
        <w:rPr>
          <w:b/>
          <w:bCs/>
          <w:u w:val="single"/>
        </w:rPr>
        <w:t>HIV</w:t>
      </w:r>
      <w:r w:rsidR="00283679" w:rsidRPr="00007FBE">
        <w:rPr>
          <w:b/>
          <w:bCs/>
          <w:u w:val="single"/>
        </w:rPr>
        <w:t xml:space="preserve"> </w:t>
      </w:r>
      <w:r w:rsidR="009D1A15" w:rsidRPr="00007FBE">
        <w:rPr>
          <w:b/>
          <w:bCs/>
          <w:u w:val="single"/>
        </w:rPr>
        <w:t>TESTING COUNSELING REFERRALS</w:t>
      </w:r>
      <w:r w:rsidR="00007FBE">
        <w:rPr>
          <w:b/>
          <w:bCs/>
          <w:u w:val="single"/>
        </w:rPr>
        <w:t>:</w:t>
      </w:r>
    </w:p>
    <w:p w14:paraId="0ABB4C52" w14:textId="77777777" w:rsidR="0006721C" w:rsidRPr="000308C7" w:rsidRDefault="0006721C" w:rsidP="0006721C">
      <w:pPr>
        <w:widowControl/>
        <w:shd w:val="clear" w:color="auto" w:fill="FFFFFF"/>
        <w:autoSpaceDE/>
        <w:autoSpaceDN/>
        <w:adjustRightInd/>
      </w:pPr>
    </w:p>
    <w:p w14:paraId="4E6B972B" w14:textId="77777777" w:rsidR="00283679" w:rsidRPr="000308C7" w:rsidRDefault="00283679" w:rsidP="0006721C">
      <w:pPr>
        <w:widowControl/>
        <w:shd w:val="clear" w:color="auto" w:fill="FFFFFF"/>
        <w:autoSpaceDE/>
        <w:autoSpaceDN/>
        <w:adjustRightInd/>
        <w:ind w:firstLine="720"/>
        <w:rPr>
          <w:color w:val="2E2E2E"/>
        </w:rPr>
      </w:pPr>
      <w:r w:rsidRPr="000308C7">
        <w:t>T</w:t>
      </w:r>
      <w:r w:rsidRPr="000308C7">
        <w:rPr>
          <w:color w:val="2E2E2E"/>
        </w:rPr>
        <w:t>he DC Department of Health</w:t>
      </w:r>
      <w:r w:rsidR="003E4B33" w:rsidRPr="000308C7">
        <w:rPr>
          <w:color w:val="2E2E2E"/>
        </w:rPr>
        <w:t xml:space="preserve"> (DOH)</w:t>
      </w:r>
      <w:r w:rsidRPr="000308C7">
        <w:rPr>
          <w:color w:val="2E2E2E"/>
        </w:rPr>
        <w:t xml:space="preserve"> HIV/AIDS, Hepatitis, STD, and TB Administration (HAHSTA) has prepared a comprehensive and easy-to-read directory of all DC HIV/AIDS services, most are funded by the District of Columbia Government. The directory contains information ranging from HIV testing locations to medical care, medications and support services, including nutrition services and housing. A special on-line version can be accessed below.  </w:t>
      </w:r>
    </w:p>
    <w:p w14:paraId="10931B00" w14:textId="77777777" w:rsidR="0006721C" w:rsidRPr="000308C7" w:rsidRDefault="0006721C" w:rsidP="0006721C">
      <w:pPr>
        <w:widowControl/>
        <w:shd w:val="clear" w:color="auto" w:fill="FFFFFF"/>
        <w:autoSpaceDE/>
        <w:autoSpaceDN/>
        <w:adjustRightInd/>
        <w:rPr>
          <w:color w:val="2E2E2E"/>
        </w:rPr>
      </w:pPr>
    </w:p>
    <w:p w14:paraId="767F8253" w14:textId="77777777" w:rsidR="00283679" w:rsidRPr="00340286" w:rsidRDefault="00283679" w:rsidP="0006721C">
      <w:pPr>
        <w:widowControl/>
        <w:shd w:val="clear" w:color="auto" w:fill="FFFFFF"/>
        <w:autoSpaceDE/>
        <w:autoSpaceDN/>
        <w:adjustRightInd/>
        <w:rPr>
          <w:b/>
          <w:i/>
        </w:rPr>
      </w:pPr>
      <w:r w:rsidRPr="00340286">
        <w:rPr>
          <w:b/>
          <w:i/>
        </w:rPr>
        <w:t>Directory of HIV/AIDS Services in the District of Columbia and Surrounding Areas</w:t>
      </w:r>
    </w:p>
    <w:p w14:paraId="14B79441" w14:textId="77777777" w:rsidR="00283679" w:rsidRPr="000308C7" w:rsidRDefault="00283679" w:rsidP="0006721C">
      <w:pPr>
        <w:widowControl/>
        <w:shd w:val="clear" w:color="auto" w:fill="FFFFFF"/>
        <w:autoSpaceDE/>
        <w:autoSpaceDN/>
        <w:adjustRightInd/>
        <w:rPr>
          <w:color w:val="2E2E2E"/>
        </w:rPr>
      </w:pPr>
      <w:r w:rsidRPr="000308C7">
        <w:rPr>
          <w:color w:val="2E2E2E"/>
        </w:rPr>
        <w:t>(</w:t>
      </w:r>
      <w:hyperlink r:id="rId9" w:history="1">
        <w:r w:rsidRPr="000308C7">
          <w:rPr>
            <w:rStyle w:val="Hyperlink"/>
          </w:rPr>
          <w:t>http://haadirectory.doh.dc.gov/</w:t>
        </w:r>
      </w:hyperlink>
      <w:r w:rsidRPr="000308C7">
        <w:rPr>
          <w:color w:val="2E2E2E"/>
        </w:rPr>
        <w:t>)</w:t>
      </w:r>
    </w:p>
    <w:p w14:paraId="61BF3CE1" w14:textId="77777777" w:rsidR="0006721C" w:rsidRPr="000308C7" w:rsidRDefault="0006721C" w:rsidP="0006721C">
      <w:pPr>
        <w:widowControl/>
        <w:shd w:val="clear" w:color="auto" w:fill="FFFFFF"/>
        <w:autoSpaceDE/>
        <w:autoSpaceDN/>
        <w:adjustRightInd/>
        <w:rPr>
          <w:color w:val="2E2E2E"/>
        </w:rPr>
      </w:pPr>
    </w:p>
    <w:p w14:paraId="008F7795" w14:textId="77777777" w:rsidR="00E57AF2" w:rsidRPr="000308C7" w:rsidRDefault="00E57AF2" w:rsidP="0006721C">
      <w:pPr>
        <w:widowControl/>
        <w:shd w:val="clear" w:color="auto" w:fill="FFFFFF"/>
        <w:autoSpaceDE/>
        <w:autoSpaceDN/>
        <w:adjustRightInd/>
        <w:rPr>
          <w:color w:val="2E2E2E"/>
        </w:rPr>
      </w:pPr>
      <w:r w:rsidRPr="000308C7">
        <w:rPr>
          <w:color w:val="2E2E2E"/>
        </w:rPr>
        <w:tab/>
        <w:t xml:space="preserve">For a </w:t>
      </w:r>
      <w:r w:rsidR="000A763C" w:rsidRPr="000308C7">
        <w:rPr>
          <w:color w:val="2E2E2E"/>
        </w:rPr>
        <w:t>printable</w:t>
      </w:r>
      <w:r w:rsidRPr="000308C7">
        <w:rPr>
          <w:color w:val="2E2E2E"/>
        </w:rPr>
        <w:t xml:space="preserve"> list of primary care sites in DC, compiled by the DOH Primary Care Bureau visit them at the link below.</w:t>
      </w:r>
    </w:p>
    <w:p w14:paraId="1AEB3B90" w14:textId="77777777" w:rsidR="00E57AF2" w:rsidRPr="000308C7" w:rsidRDefault="00E57AF2" w:rsidP="0006721C">
      <w:pPr>
        <w:widowControl/>
        <w:shd w:val="clear" w:color="auto" w:fill="FFFFFF"/>
        <w:autoSpaceDE/>
        <w:autoSpaceDN/>
        <w:adjustRightInd/>
        <w:rPr>
          <w:color w:val="2E2E2E"/>
        </w:rPr>
      </w:pPr>
    </w:p>
    <w:p w14:paraId="4D58D223" w14:textId="77777777" w:rsidR="00E57AF2" w:rsidRPr="00340286" w:rsidRDefault="00E57AF2" w:rsidP="0006721C">
      <w:pPr>
        <w:widowControl/>
        <w:shd w:val="clear" w:color="auto" w:fill="FFFFFF"/>
        <w:autoSpaceDE/>
        <w:autoSpaceDN/>
        <w:adjustRightInd/>
        <w:rPr>
          <w:b/>
          <w:i/>
        </w:rPr>
      </w:pPr>
      <w:r w:rsidRPr="00340286">
        <w:rPr>
          <w:b/>
          <w:i/>
        </w:rPr>
        <w:t>Primary Care Bureau</w:t>
      </w:r>
    </w:p>
    <w:p w14:paraId="6382715A" w14:textId="77777777" w:rsidR="00E57AF2" w:rsidRPr="000308C7" w:rsidRDefault="00E57AF2" w:rsidP="0006721C">
      <w:pPr>
        <w:widowControl/>
        <w:shd w:val="clear" w:color="auto" w:fill="FFFFFF"/>
        <w:autoSpaceDE/>
        <w:autoSpaceDN/>
        <w:adjustRightInd/>
        <w:rPr>
          <w:color w:val="2E2E2E"/>
        </w:rPr>
      </w:pPr>
      <w:r w:rsidRPr="000308C7">
        <w:rPr>
          <w:color w:val="2E2E2E"/>
        </w:rPr>
        <w:t>(</w:t>
      </w:r>
      <w:hyperlink r:id="rId10" w:history="1">
        <w:r w:rsidRPr="000308C7">
          <w:rPr>
            <w:rStyle w:val="Hyperlink"/>
          </w:rPr>
          <w:t>http://doh.dc.gov/page/primary-care-bureau</w:t>
        </w:r>
      </w:hyperlink>
      <w:r w:rsidRPr="000308C7">
        <w:rPr>
          <w:color w:val="2E2E2E"/>
        </w:rPr>
        <w:t>)</w:t>
      </w:r>
    </w:p>
    <w:p w14:paraId="1E4369C1" w14:textId="77777777" w:rsidR="00E57AF2" w:rsidRPr="000308C7" w:rsidRDefault="00E57AF2" w:rsidP="0006721C">
      <w:pPr>
        <w:widowControl/>
        <w:shd w:val="clear" w:color="auto" w:fill="FFFFFF"/>
        <w:autoSpaceDE/>
        <w:autoSpaceDN/>
        <w:adjustRightInd/>
        <w:rPr>
          <w:color w:val="2E2E2E"/>
        </w:rPr>
      </w:pPr>
    </w:p>
    <w:p w14:paraId="1B3CE5B6" w14:textId="77777777" w:rsidR="0006721C" w:rsidRPr="000308C7" w:rsidRDefault="0006721C" w:rsidP="00481C7B">
      <w:pPr>
        <w:widowControl/>
        <w:shd w:val="clear" w:color="auto" w:fill="FFFFFF"/>
        <w:autoSpaceDE/>
        <w:autoSpaceDN/>
        <w:adjustRightInd/>
        <w:ind w:firstLine="720"/>
      </w:pPr>
      <w:r w:rsidRPr="000308C7">
        <w:t>The DC Primary Care Association (DCPCA) is a non-profit health equity and advocacy organization dedicated to improving the health of DC’s vulnerable residents by ensuring access to high quality primary health care, regardless of an ability to pay. They work to ensure that all residents of Washington, DC have the ability and opportunity to lead healthier lives - through increased health care coverage, expanded access, improved quality, workforce development, and enhanced communication.  Members of the DCPCA currently includes 15 community health centers and community-based organizations located in the District of Columbia and the Maryland suburbs. Between them, member health centers own and operate nearly 60 health care delivery sites that serve approximately 200,000 residents, most of which offer HIV counseling and testing. A listing of health center locations can be found below.</w:t>
      </w:r>
    </w:p>
    <w:p w14:paraId="0A452D5E" w14:textId="77777777" w:rsidR="00481C7B" w:rsidRPr="000308C7" w:rsidRDefault="00481C7B" w:rsidP="0006721C">
      <w:pPr>
        <w:widowControl/>
        <w:shd w:val="clear" w:color="auto" w:fill="FFFFFF"/>
        <w:autoSpaceDE/>
        <w:autoSpaceDN/>
        <w:adjustRightInd/>
        <w:rPr>
          <w:color w:val="1F4E79"/>
        </w:rPr>
      </w:pPr>
    </w:p>
    <w:p w14:paraId="1AEA361C" w14:textId="77777777" w:rsidR="0006721C" w:rsidRPr="00340286" w:rsidRDefault="0006721C" w:rsidP="0006721C">
      <w:pPr>
        <w:widowControl/>
        <w:shd w:val="clear" w:color="auto" w:fill="FFFFFF"/>
        <w:autoSpaceDE/>
        <w:autoSpaceDN/>
        <w:adjustRightInd/>
        <w:rPr>
          <w:b/>
          <w:i/>
        </w:rPr>
      </w:pPr>
      <w:r w:rsidRPr="00340286">
        <w:rPr>
          <w:b/>
          <w:i/>
        </w:rPr>
        <w:t>DCPCA Find a Health Center</w:t>
      </w:r>
    </w:p>
    <w:p w14:paraId="262A842D" w14:textId="77777777" w:rsidR="00283679" w:rsidRPr="000308C7" w:rsidRDefault="007342E0" w:rsidP="0006721C">
      <w:pPr>
        <w:widowControl/>
        <w:shd w:val="clear" w:color="auto" w:fill="FFFFFF"/>
        <w:autoSpaceDE/>
        <w:autoSpaceDN/>
        <w:adjustRightInd/>
      </w:pPr>
      <w:r w:rsidRPr="000308C7">
        <w:t>(</w:t>
      </w:r>
      <w:hyperlink r:id="rId11" w:history="1">
        <w:r w:rsidR="0006721C" w:rsidRPr="000308C7">
          <w:rPr>
            <w:rStyle w:val="Hyperlink"/>
          </w:rPr>
          <w:t>http://www.dcpca.org/find-a-health-center</w:t>
        </w:r>
      </w:hyperlink>
      <w:r w:rsidRPr="000308C7">
        <w:t>)</w:t>
      </w:r>
      <w:r w:rsidR="0006721C" w:rsidRPr="000308C7">
        <w:t xml:space="preserve"> </w:t>
      </w:r>
    </w:p>
    <w:sectPr w:rsidR="00283679" w:rsidRPr="000308C7" w:rsidSect="00F93010">
      <w:type w:val="continuous"/>
      <w:pgSz w:w="12240" w:h="15840"/>
      <w:pgMar w:top="1530" w:right="1662" w:bottom="1009" w:left="1649" w:header="19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212B1" w14:textId="77777777" w:rsidR="00586A7A" w:rsidRDefault="00586A7A" w:rsidP="00886F01">
      <w:r>
        <w:separator/>
      </w:r>
    </w:p>
  </w:endnote>
  <w:endnote w:type="continuationSeparator" w:id="0">
    <w:p w14:paraId="0F2278D8" w14:textId="77777777" w:rsidR="00586A7A" w:rsidRDefault="00586A7A" w:rsidP="0088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34891"/>
      <w:docPartObj>
        <w:docPartGallery w:val="Page Numbers (Bottom of Page)"/>
        <w:docPartUnique/>
      </w:docPartObj>
    </w:sdtPr>
    <w:sdtEndPr>
      <w:rPr>
        <w:noProof/>
      </w:rPr>
    </w:sdtEndPr>
    <w:sdtContent>
      <w:p w14:paraId="5A143652" w14:textId="1DCAB3F3" w:rsidR="008A4941" w:rsidRDefault="008A4941">
        <w:pPr>
          <w:pStyle w:val="Footer"/>
          <w:jc w:val="center"/>
        </w:pPr>
        <w:r>
          <w:fldChar w:fldCharType="begin"/>
        </w:r>
        <w:r>
          <w:instrText xml:space="preserve"> PAGE   \* MERGEFORMAT </w:instrText>
        </w:r>
        <w:r>
          <w:fldChar w:fldCharType="separate"/>
        </w:r>
        <w:r w:rsidR="007333F2">
          <w:rPr>
            <w:noProof/>
          </w:rPr>
          <w:t>5</w:t>
        </w:r>
        <w:r>
          <w:rPr>
            <w:noProof/>
          </w:rPr>
          <w:fldChar w:fldCharType="end"/>
        </w:r>
      </w:p>
    </w:sdtContent>
  </w:sdt>
  <w:p w14:paraId="0784CEEA" w14:textId="39C873EE" w:rsidR="00886F01" w:rsidRDefault="00886F0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54422" w14:textId="77777777" w:rsidR="00586A7A" w:rsidRDefault="00586A7A" w:rsidP="00886F01">
      <w:r>
        <w:separator/>
      </w:r>
    </w:p>
  </w:footnote>
  <w:footnote w:type="continuationSeparator" w:id="0">
    <w:p w14:paraId="2D620036" w14:textId="77777777" w:rsidR="00586A7A" w:rsidRDefault="00586A7A" w:rsidP="00886F01">
      <w:r>
        <w:continuationSeparator/>
      </w:r>
    </w:p>
  </w:footnote>
  <w:footnote w:id="1">
    <w:p w14:paraId="55BC84CA" w14:textId="5EC53379" w:rsidR="00F93010" w:rsidRPr="00F93010" w:rsidRDefault="00F93010" w:rsidP="00F93010">
      <w:pPr>
        <w:pStyle w:val="Footer"/>
        <w:rPr>
          <w:sz w:val="18"/>
          <w:szCs w:val="18"/>
        </w:rPr>
      </w:pPr>
      <w:r>
        <w:rPr>
          <w:rStyle w:val="FootnoteReference"/>
        </w:rPr>
        <w:footnoteRef/>
      </w:r>
      <w:r>
        <w:t xml:space="preserve"> </w:t>
      </w:r>
      <w:r w:rsidRPr="00243C1D">
        <w:rPr>
          <w:sz w:val="18"/>
          <w:szCs w:val="18"/>
        </w:rPr>
        <w:t>Exception: As of April 2014, data are insufficient to recommend use of the FDA-approved single-use rapid HIV- 1/HIV-2 antigen/antibody combination immunoassay as the initial assay in the algorithm.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57426"/>
    <w:multiLevelType w:val="hybridMultilevel"/>
    <w:tmpl w:val="25D0E4DC"/>
    <w:lvl w:ilvl="0" w:tplc="88C2EE6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5F25488"/>
    <w:multiLevelType w:val="multilevel"/>
    <w:tmpl w:val="6594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9C2539"/>
    <w:multiLevelType w:val="hybridMultilevel"/>
    <w:tmpl w:val="4A8C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A32220"/>
    <w:multiLevelType w:val="hybridMultilevel"/>
    <w:tmpl w:val="A88A27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DE"/>
    <w:rsid w:val="00007EFB"/>
    <w:rsid w:val="00007FBE"/>
    <w:rsid w:val="000308C7"/>
    <w:rsid w:val="0003149E"/>
    <w:rsid w:val="000322A9"/>
    <w:rsid w:val="0005749C"/>
    <w:rsid w:val="0006721C"/>
    <w:rsid w:val="000804FF"/>
    <w:rsid w:val="000A763C"/>
    <w:rsid w:val="000B0676"/>
    <w:rsid w:val="000F4A7F"/>
    <w:rsid w:val="00107D57"/>
    <w:rsid w:val="00161896"/>
    <w:rsid w:val="0016709A"/>
    <w:rsid w:val="001A0989"/>
    <w:rsid w:val="00203188"/>
    <w:rsid w:val="00243C1D"/>
    <w:rsid w:val="00283679"/>
    <w:rsid w:val="002C5CB9"/>
    <w:rsid w:val="002D36A4"/>
    <w:rsid w:val="00320CEB"/>
    <w:rsid w:val="00336843"/>
    <w:rsid w:val="00340286"/>
    <w:rsid w:val="00395B83"/>
    <w:rsid w:val="003D4C4F"/>
    <w:rsid w:val="003E4B33"/>
    <w:rsid w:val="003F1143"/>
    <w:rsid w:val="00481C7B"/>
    <w:rsid w:val="004C294F"/>
    <w:rsid w:val="004F30A9"/>
    <w:rsid w:val="00515B8F"/>
    <w:rsid w:val="00547EDC"/>
    <w:rsid w:val="005502D5"/>
    <w:rsid w:val="00586A7A"/>
    <w:rsid w:val="005E565A"/>
    <w:rsid w:val="005E7EDE"/>
    <w:rsid w:val="00600A64"/>
    <w:rsid w:val="006D69B3"/>
    <w:rsid w:val="00700426"/>
    <w:rsid w:val="00733187"/>
    <w:rsid w:val="007333F2"/>
    <w:rsid w:val="007342E0"/>
    <w:rsid w:val="007661A0"/>
    <w:rsid w:val="007C0BDA"/>
    <w:rsid w:val="007F3AB8"/>
    <w:rsid w:val="008010B1"/>
    <w:rsid w:val="00811816"/>
    <w:rsid w:val="008548A6"/>
    <w:rsid w:val="00883835"/>
    <w:rsid w:val="00886F01"/>
    <w:rsid w:val="008A1315"/>
    <w:rsid w:val="008A4941"/>
    <w:rsid w:val="008B49AA"/>
    <w:rsid w:val="008B575C"/>
    <w:rsid w:val="008C421E"/>
    <w:rsid w:val="008D5507"/>
    <w:rsid w:val="008D773A"/>
    <w:rsid w:val="00927AA1"/>
    <w:rsid w:val="00966647"/>
    <w:rsid w:val="009D1A15"/>
    <w:rsid w:val="00A21437"/>
    <w:rsid w:val="00A348B3"/>
    <w:rsid w:val="00AB32C4"/>
    <w:rsid w:val="00B75F7E"/>
    <w:rsid w:val="00BE67E2"/>
    <w:rsid w:val="00C124A1"/>
    <w:rsid w:val="00C17992"/>
    <w:rsid w:val="00C469C7"/>
    <w:rsid w:val="00CB6571"/>
    <w:rsid w:val="00CE1703"/>
    <w:rsid w:val="00D06B18"/>
    <w:rsid w:val="00D21AFD"/>
    <w:rsid w:val="00D50D0C"/>
    <w:rsid w:val="00D6437D"/>
    <w:rsid w:val="00DA2667"/>
    <w:rsid w:val="00DC5F04"/>
    <w:rsid w:val="00DE5FEF"/>
    <w:rsid w:val="00E449F9"/>
    <w:rsid w:val="00E568D9"/>
    <w:rsid w:val="00E57AF2"/>
    <w:rsid w:val="00E67536"/>
    <w:rsid w:val="00EE495A"/>
    <w:rsid w:val="00F114B1"/>
    <w:rsid w:val="00F15E5A"/>
    <w:rsid w:val="00F40897"/>
    <w:rsid w:val="00F64B41"/>
    <w:rsid w:val="00F66CE1"/>
    <w:rsid w:val="00F93010"/>
    <w:rsid w:val="00FD2FA4"/>
    <w:rsid w:val="00FE33B0"/>
    <w:rsid w:val="00FE4506"/>
    <w:rsid w:val="00FE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93A47"/>
  <w15:docId w15:val="{F299067A-EBE0-493B-81EC-E5D0DD96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8A131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1">
    <w:name w:val="TxBr_p1"/>
    <w:basedOn w:val="Normal"/>
    <w:pPr>
      <w:tabs>
        <w:tab w:val="left" w:pos="1508"/>
      </w:tabs>
      <w:spacing w:line="232" w:lineRule="atLeast"/>
      <w:ind w:left="141" w:hanging="1508"/>
    </w:pPr>
  </w:style>
  <w:style w:type="paragraph" w:customStyle="1" w:styleId="TxBrp2">
    <w:name w:val="TxBr_p2"/>
    <w:basedOn w:val="Normal"/>
    <w:pPr>
      <w:spacing w:line="240" w:lineRule="atLeast"/>
    </w:pPr>
  </w:style>
  <w:style w:type="paragraph" w:customStyle="1" w:styleId="TxBrp3">
    <w:name w:val="TxBr_p3"/>
    <w:basedOn w:val="Normal"/>
    <w:pPr>
      <w:spacing w:line="277" w:lineRule="atLeast"/>
    </w:pPr>
  </w:style>
  <w:style w:type="paragraph" w:customStyle="1" w:styleId="TxBrc4">
    <w:name w:val="TxBr_c4"/>
    <w:basedOn w:val="Normal"/>
    <w:pPr>
      <w:spacing w:line="240" w:lineRule="atLeast"/>
      <w:jc w:val="center"/>
    </w:pPr>
  </w:style>
  <w:style w:type="paragraph" w:customStyle="1" w:styleId="TxBrp5">
    <w:name w:val="TxBr_p5"/>
    <w:basedOn w:val="Normal"/>
    <w:pPr>
      <w:spacing w:line="272" w:lineRule="atLeast"/>
    </w:pPr>
  </w:style>
  <w:style w:type="paragraph" w:customStyle="1" w:styleId="TxBrp6">
    <w:name w:val="TxBr_p6"/>
    <w:basedOn w:val="Normal"/>
    <w:pPr>
      <w:spacing w:line="272" w:lineRule="atLeast"/>
    </w:pPr>
  </w:style>
  <w:style w:type="paragraph" w:customStyle="1" w:styleId="TxBrt7">
    <w:name w:val="TxBr_t7"/>
    <w:basedOn w:val="Normal"/>
    <w:pPr>
      <w:spacing w:line="272" w:lineRule="atLeast"/>
    </w:pPr>
  </w:style>
  <w:style w:type="paragraph" w:customStyle="1" w:styleId="TxBrp8">
    <w:name w:val="TxBr_p8"/>
    <w:basedOn w:val="Normal"/>
    <w:pPr>
      <w:spacing w:line="272" w:lineRule="atLeast"/>
      <w:jc w:val="both"/>
    </w:pPr>
  </w:style>
  <w:style w:type="paragraph" w:customStyle="1" w:styleId="TxBrp9">
    <w:name w:val="TxBr_p9"/>
    <w:basedOn w:val="Normal"/>
    <w:pPr>
      <w:spacing w:line="272" w:lineRule="atLeast"/>
      <w:jc w:val="both"/>
    </w:pPr>
  </w:style>
  <w:style w:type="paragraph" w:customStyle="1" w:styleId="TxBrc10">
    <w:name w:val="TxBr_c10"/>
    <w:basedOn w:val="Normal"/>
    <w:pPr>
      <w:spacing w:line="240" w:lineRule="atLeast"/>
      <w:jc w:val="center"/>
    </w:pPr>
  </w:style>
  <w:style w:type="paragraph" w:customStyle="1" w:styleId="TxBrc11">
    <w:name w:val="TxBr_c11"/>
    <w:basedOn w:val="Normal"/>
    <w:pPr>
      <w:spacing w:line="240" w:lineRule="atLeast"/>
      <w:jc w:val="center"/>
    </w:pPr>
  </w:style>
  <w:style w:type="paragraph" w:customStyle="1" w:styleId="TxBrp12">
    <w:name w:val="TxBr_p12"/>
    <w:basedOn w:val="Normal"/>
    <w:pPr>
      <w:spacing w:line="272" w:lineRule="atLeast"/>
      <w:ind w:left="878" w:hanging="771"/>
    </w:pPr>
  </w:style>
  <w:style w:type="paragraph" w:customStyle="1" w:styleId="TxBrt13">
    <w:name w:val="TxBr_t13"/>
    <w:basedOn w:val="Normal"/>
    <w:pPr>
      <w:spacing w:line="266" w:lineRule="atLeast"/>
    </w:pPr>
  </w:style>
  <w:style w:type="paragraph" w:customStyle="1" w:styleId="TxBrt14">
    <w:name w:val="TxBr_t14"/>
    <w:basedOn w:val="Normal"/>
    <w:pPr>
      <w:spacing w:line="260" w:lineRule="atLeast"/>
    </w:pPr>
  </w:style>
  <w:style w:type="paragraph" w:customStyle="1" w:styleId="TxBrc15">
    <w:name w:val="TxBr_c15"/>
    <w:basedOn w:val="Normal"/>
    <w:pPr>
      <w:spacing w:line="240" w:lineRule="atLeast"/>
      <w:jc w:val="center"/>
    </w:pPr>
  </w:style>
  <w:style w:type="paragraph" w:customStyle="1" w:styleId="TxBrp16">
    <w:name w:val="TxBr_p16"/>
    <w:basedOn w:val="Normal"/>
    <w:pPr>
      <w:tabs>
        <w:tab w:val="left" w:pos="4501"/>
      </w:tabs>
      <w:spacing w:line="240" w:lineRule="atLeast"/>
      <w:ind w:left="2853"/>
    </w:pPr>
  </w:style>
  <w:style w:type="paragraph" w:customStyle="1" w:styleId="TxBrp17">
    <w:name w:val="TxBr_p17"/>
    <w:basedOn w:val="Normal"/>
    <w:pPr>
      <w:tabs>
        <w:tab w:val="left" w:pos="4495"/>
      </w:tabs>
      <w:spacing w:line="240" w:lineRule="atLeast"/>
      <w:ind w:left="2847"/>
    </w:pPr>
  </w:style>
  <w:style w:type="table" w:styleId="TableGrid">
    <w:name w:val="Table Grid"/>
    <w:basedOn w:val="TableNormal"/>
    <w:rsid w:val="00DE5FE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83679"/>
    <w:pPr>
      <w:widowControl/>
      <w:autoSpaceDE/>
      <w:autoSpaceDN/>
      <w:adjustRightInd/>
      <w:spacing w:before="100" w:beforeAutospacing="1" w:after="100" w:afterAutospacing="1"/>
    </w:pPr>
  </w:style>
  <w:style w:type="character" w:styleId="Hyperlink">
    <w:name w:val="Hyperlink"/>
    <w:uiPriority w:val="99"/>
    <w:unhideWhenUsed/>
    <w:rsid w:val="00283679"/>
    <w:rPr>
      <w:color w:val="0000FF"/>
      <w:u w:val="single"/>
    </w:rPr>
  </w:style>
  <w:style w:type="character" w:styleId="CommentReference">
    <w:name w:val="annotation reference"/>
    <w:basedOn w:val="DefaultParagraphFont"/>
    <w:rsid w:val="007C0BDA"/>
    <w:rPr>
      <w:sz w:val="16"/>
      <w:szCs w:val="16"/>
    </w:rPr>
  </w:style>
  <w:style w:type="paragraph" w:styleId="CommentText">
    <w:name w:val="annotation text"/>
    <w:basedOn w:val="Normal"/>
    <w:link w:val="CommentTextChar"/>
    <w:rsid w:val="007C0BDA"/>
    <w:rPr>
      <w:sz w:val="20"/>
      <w:szCs w:val="20"/>
    </w:rPr>
  </w:style>
  <w:style w:type="character" w:customStyle="1" w:styleId="CommentTextChar">
    <w:name w:val="Comment Text Char"/>
    <w:basedOn w:val="DefaultParagraphFont"/>
    <w:link w:val="CommentText"/>
    <w:rsid w:val="007C0BDA"/>
  </w:style>
  <w:style w:type="paragraph" w:styleId="CommentSubject">
    <w:name w:val="annotation subject"/>
    <w:basedOn w:val="CommentText"/>
    <w:next w:val="CommentText"/>
    <w:link w:val="CommentSubjectChar"/>
    <w:rsid w:val="007C0BDA"/>
    <w:rPr>
      <w:b/>
      <w:bCs/>
    </w:rPr>
  </w:style>
  <w:style w:type="character" w:customStyle="1" w:styleId="CommentSubjectChar">
    <w:name w:val="Comment Subject Char"/>
    <w:basedOn w:val="CommentTextChar"/>
    <w:link w:val="CommentSubject"/>
    <w:rsid w:val="007C0BDA"/>
    <w:rPr>
      <w:b/>
      <w:bCs/>
    </w:rPr>
  </w:style>
  <w:style w:type="paragraph" w:styleId="BalloonText">
    <w:name w:val="Balloon Text"/>
    <w:basedOn w:val="Normal"/>
    <w:link w:val="BalloonTextChar"/>
    <w:rsid w:val="007C0BDA"/>
    <w:rPr>
      <w:rFonts w:ascii="Tahoma" w:hAnsi="Tahoma" w:cs="Tahoma"/>
      <w:sz w:val="16"/>
      <w:szCs w:val="16"/>
    </w:rPr>
  </w:style>
  <w:style w:type="character" w:customStyle="1" w:styleId="BalloonTextChar">
    <w:name w:val="Balloon Text Char"/>
    <w:basedOn w:val="DefaultParagraphFont"/>
    <w:link w:val="BalloonText"/>
    <w:rsid w:val="007C0BDA"/>
    <w:rPr>
      <w:rFonts w:ascii="Tahoma" w:hAnsi="Tahoma" w:cs="Tahoma"/>
      <w:sz w:val="16"/>
      <w:szCs w:val="16"/>
    </w:rPr>
  </w:style>
  <w:style w:type="paragraph" w:styleId="Header">
    <w:name w:val="header"/>
    <w:basedOn w:val="Normal"/>
    <w:link w:val="HeaderChar"/>
    <w:uiPriority w:val="99"/>
    <w:unhideWhenUsed/>
    <w:rsid w:val="00886F01"/>
    <w:pPr>
      <w:tabs>
        <w:tab w:val="center" w:pos="4680"/>
        <w:tab w:val="right" w:pos="9360"/>
      </w:tabs>
    </w:pPr>
  </w:style>
  <w:style w:type="character" w:customStyle="1" w:styleId="HeaderChar">
    <w:name w:val="Header Char"/>
    <w:basedOn w:val="DefaultParagraphFont"/>
    <w:link w:val="Header"/>
    <w:uiPriority w:val="99"/>
    <w:rsid w:val="00886F01"/>
    <w:rPr>
      <w:sz w:val="24"/>
      <w:szCs w:val="24"/>
    </w:rPr>
  </w:style>
  <w:style w:type="paragraph" w:styleId="Footer">
    <w:name w:val="footer"/>
    <w:basedOn w:val="Normal"/>
    <w:link w:val="FooterChar"/>
    <w:uiPriority w:val="99"/>
    <w:unhideWhenUsed/>
    <w:rsid w:val="00886F01"/>
    <w:pPr>
      <w:tabs>
        <w:tab w:val="center" w:pos="4680"/>
        <w:tab w:val="right" w:pos="9360"/>
      </w:tabs>
    </w:pPr>
  </w:style>
  <w:style w:type="character" w:customStyle="1" w:styleId="FooterChar">
    <w:name w:val="Footer Char"/>
    <w:basedOn w:val="DefaultParagraphFont"/>
    <w:link w:val="Footer"/>
    <w:uiPriority w:val="99"/>
    <w:rsid w:val="00886F01"/>
    <w:rPr>
      <w:sz w:val="24"/>
      <w:szCs w:val="24"/>
    </w:rPr>
  </w:style>
  <w:style w:type="character" w:customStyle="1" w:styleId="Heading1Char">
    <w:name w:val="Heading 1 Char"/>
    <w:basedOn w:val="DefaultParagraphFont"/>
    <w:link w:val="Heading1"/>
    <w:rsid w:val="008A1315"/>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semiHidden/>
    <w:unhideWhenUsed/>
    <w:rsid w:val="00F93010"/>
    <w:rPr>
      <w:sz w:val="20"/>
      <w:szCs w:val="20"/>
    </w:rPr>
  </w:style>
  <w:style w:type="character" w:customStyle="1" w:styleId="FootnoteTextChar">
    <w:name w:val="Footnote Text Char"/>
    <w:basedOn w:val="DefaultParagraphFont"/>
    <w:link w:val="FootnoteText"/>
    <w:semiHidden/>
    <w:rsid w:val="00F93010"/>
  </w:style>
  <w:style w:type="character" w:styleId="FootnoteReference">
    <w:name w:val="footnote reference"/>
    <w:basedOn w:val="DefaultParagraphFont"/>
    <w:semiHidden/>
    <w:unhideWhenUsed/>
    <w:rsid w:val="00F930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7089">
      <w:bodyDiv w:val="1"/>
      <w:marLeft w:val="0"/>
      <w:marRight w:val="0"/>
      <w:marTop w:val="0"/>
      <w:marBottom w:val="0"/>
      <w:divBdr>
        <w:top w:val="none" w:sz="0" w:space="0" w:color="auto"/>
        <w:left w:val="none" w:sz="0" w:space="0" w:color="auto"/>
        <w:bottom w:val="none" w:sz="0" w:space="0" w:color="auto"/>
        <w:right w:val="none" w:sz="0" w:space="0" w:color="auto"/>
      </w:divBdr>
    </w:div>
    <w:div w:id="567225494">
      <w:bodyDiv w:val="1"/>
      <w:marLeft w:val="0"/>
      <w:marRight w:val="0"/>
      <w:marTop w:val="0"/>
      <w:marBottom w:val="0"/>
      <w:divBdr>
        <w:top w:val="none" w:sz="0" w:space="0" w:color="auto"/>
        <w:left w:val="none" w:sz="0" w:space="0" w:color="auto"/>
        <w:bottom w:val="none" w:sz="0" w:space="0" w:color="auto"/>
        <w:right w:val="none" w:sz="0" w:space="0" w:color="auto"/>
      </w:divBdr>
    </w:div>
    <w:div w:id="635187779">
      <w:bodyDiv w:val="1"/>
      <w:marLeft w:val="0"/>
      <w:marRight w:val="0"/>
      <w:marTop w:val="0"/>
      <w:marBottom w:val="0"/>
      <w:divBdr>
        <w:top w:val="none" w:sz="0" w:space="0" w:color="auto"/>
        <w:left w:val="none" w:sz="0" w:space="0" w:color="auto"/>
        <w:bottom w:val="none" w:sz="0" w:space="0" w:color="auto"/>
        <w:right w:val="none" w:sz="0" w:space="0" w:color="auto"/>
      </w:divBdr>
    </w:div>
    <w:div w:id="995841705">
      <w:bodyDiv w:val="1"/>
      <w:marLeft w:val="0"/>
      <w:marRight w:val="0"/>
      <w:marTop w:val="0"/>
      <w:marBottom w:val="0"/>
      <w:divBdr>
        <w:top w:val="none" w:sz="0" w:space="0" w:color="auto"/>
        <w:left w:val="none" w:sz="0" w:space="0" w:color="auto"/>
        <w:bottom w:val="none" w:sz="0" w:space="0" w:color="auto"/>
        <w:right w:val="none" w:sz="0" w:space="0" w:color="auto"/>
      </w:divBdr>
    </w:div>
    <w:div w:id="1015620095">
      <w:bodyDiv w:val="1"/>
      <w:marLeft w:val="0"/>
      <w:marRight w:val="0"/>
      <w:marTop w:val="0"/>
      <w:marBottom w:val="0"/>
      <w:divBdr>
        <w:top w:val="none" w:sz="0" w:space="0" w:color="auto"/>
        <w:left w:val="none" w:sz="0" w:space="0" w:color="auto"/>
        <w:bottom w:val="none" w:sz="0" w:space="0" w:color="auto"/>
        <w:right w:val="none" w:sz="0" w:space="0" w:color="auto"/>
      </w:divBdr>
    </w:div>
    <w:div w:id="1082524840">
      <w:bodyDiv w:val="1"/>
      <w:marLeft w:val="0"/>
      <w:marRight w:val="0"/>
      <w:marTop w:val="0"/>
      <w:marBottom w:val="0"/>
      <w:divBdr>
        <w:top w:val="none" w:sz="0" w:space="0" w:color="auto"/>
        <w:left w:val="none" w:sz="0" w:space="0" w:color="auto"/>
        <w:bottom w:val="none" w:sz="0" w:space="0" w:color="auto"/>
        <w:right w:val="none" w:sz="0" w:space="0" w:color="auto"/>
      </w:divBdr>
    </w:div>
    <w:div w:id="11929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pca.org/find-a-health-center" TargetMode="External"/><Relationship Id="rId5" Type="http://schemas.openxmlformats.org/officeDocument/2006/relationships/webSettings" Target="webSettings.xml"/><Relationship Id="rId10" Type="http://schemas.openxmlformats.org/officeDocument/2006/relationships/hyperlink" Target="http://doh.dc.gov/page/primary-care-bureau" TargetMode="External"/><Relationship Id="rId4" Type="http://schemas.openxmlformats.org/officeDocument/2006/relationships/settings" Target="settings.xml"/><Relationship Id="rId9" Type="http://schemas.openxmlformats.org/officeDocument/2006/relationships/hyperlink" Target="http://haadirectory.doh.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20064-7A04-4E01-A356-078FAEA4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SUBJECT:</vt:lpstr>
    </vt:vector>
  </TitlesOfParts>
  <Company>DC Government</Company>
  <LinksUpToDate>false</LinksUpToDate>
  <CharactersWithSpaces>10760</CharactersWithSpaces>
  <SharedDoc>false</SharedDoc>
  <HLinks>
    <vt:vector size="18" baseType="variant">
      <vt:variant>
        <vt:i4>5701646</vt:i4>
      </vt:variant>
      <vt:variant>
        <vt:i4>6</vt:i4>
      </vt:variant>
      <vt:variant>
        <vt:i4>0</vt:i4>
      </vt:variant>
      <vt:variant>
        <vt:i4>5</vt:i4>
      </vt:variant>
      <vt:variant>
        <vt:lpwstr>http://www.dcpca.org/find-a-health-center</vt:lpwstr>
      </vt:variant>
      <vt:variant>
        <vt:lpwstr/>
      </vt:variant>
      <vt:variant>
        <vt:i4>7405623</vt:i4>
      </vt:variant>
      <vt:variant>
        <vt:i4>3</vt:i4>
      </vt:variant>
      <vt:variant>
        <vt:i4>0</vt:i4>
      </vt:variant>
      <vt:variant>
        <vt:i4>5</vt:i4>
      </vt:variant>
      <vt:variant>
        <vt:lpwstr>http://doh.dc.gov/page/primary-care-bureau</vt:lpwstr>
      </vt:variant>
      <vt:variant>
        <vt:lpwstr/>
      </vt:variant>
      <vt:variant>
        <vt:i4>3473442</vt:i4>
      </vt:variant>
      <vt:variant>
        <vt:i4>0</vt:i4>
      </vt:variant>
      <vt:variant>
        <vt:i4>0</vt:i4>
      </vt:variant>
      <vt:variant>
        <vt:i4>5</vt:i4>
      </vt:variant>
      <vt:variant>
        <vt:lpwstr>http://haadirectory.doh.dc.gov/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PHIL</dc:creator>
  <cp:lastModifiedBy>Liebers, Howard (DISB)</cp:lastModifiedBy>
  <cp:revision>6</cp:revision>
  <dcterms:created xsi:type="dcterms:W3CDTF">2016-06-28T18:02:00Z</dcterms:created>
  <dcterms:modified xsi:type="dcterms:W3CDTF">2016-08-16T20:16:00Z</dcterms:modified>
</cp:coreProperties>
</file>